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4706"/>
      </w:tblGrid>
      <w:tr w:rsidR="00BB75D2" w14:paraId="4D81F5F4" w14:textId="77777777">
        <w:trPr>
          <w:cantSplit/>
          <w:jc w:val="center"/>
        </w:trPr>
        <w:tc>
          <w:tcPr>
            <w:tcW w:w="4706" w:type="dxa"/>
            <w:shd w:val="clear" w:color="auto" w:fill="173E3D"/>
            <w:tcMar>
              <w:top w:w="110" w:type="dxa"/>
              <w:left w:w="180" w:type="dxa"/>
              <w:bottom w:w="110" w:type="dxa"/>
              <w:right w:w="180" w:type="dxa"/>
            </w:tcMar>
            <w:vAlign w:val="center"/>
          </w:tcPr>
          <w:p w14:paraId="44A41A01" w14:textId="77777777" w:rsidR="00BB75D2" w:rsidRDefault="00000000">
            <w:pPr>
              <w:spacing w:after="0"/>
              <w:jc w:val="left"/>
              <w:rPr>
                <w:rFonts w:hint="eastAsia"/>
              </w:rPr>
            </w:pPr>
            <w:r>
              <w:rPr>
                <w:rFonts w:ascii="Lato" w:eastAsia="Lato" w:hAnsi="Lato" w:cs="Lato"/>
                <w:b/>
                <w:caps/>
                <w:color w:val="FFFFFF"/>
                <w:sz w:val="20"/>
                <w:lang w:val="fr-FR" w:eastAsia="fr-FR"/>
              </w:rPr>
              <w:t>JOURNÉE D’ÉTUDE</w:t>
            </w:r>
          </w:p>
        </w:tc>
        <w:tc>
          <w:tcPr>
            <w:tcW w:w="4706" w:type="dxa"/>
            <w:shd w:val="clear" w:color="auto" w:fill="B5773B"/>
            <w:tcMar>
              <w:top w:w="80" w:type="dxa"/>
              <w:left w:w="80" w:type="dxa"/>
              <w:bottom w:w="80" w:type="dxa"/>
              <w:right w:w="80" w:type="dxa"/>
            </w:tcMar>
            <w:vAlign w:val="center"/>
          </w:tcPr>
          <w:p w14:paraId="66866949" w14:textId="77777777" w:rsidR="00BB75D2" w:rsidRDefault="00000000">
            <w:pPr>
              <w:spacing w:after="0"/>
              <w:jc w:val="center"/>
              <w:rPr>
                <w:rFonts w:hint="eastAsia"/>
              </w:rPr>
            </w:pPr>
            <w:r>
              <w:rPr>
                <w:rFonts w:ascii="Noto Sans Tifinagh" w:eastAsia="Noto Sans Tifinagh" w:hAnsi="Noto Sans Tifinagh" w:cs="Noto Sans Tifinagh"/>
                <w:color w:val="FFFFFF"/>
                <w:sz w:val="44"/>
                <w:lang w:val="fr-FR" w:eastAsia="fr-FR"/>
              </w:rPr>
              <w:t>ⵣ</w:t>
            </w:r>
          </w:p>
        </w:tc>
      </w:tr>
    </w:tbl>
    <w:p w14:paraId="0DC562B7" w14:textId="77777777" w:rsidR="00BB75D2" w:rsidRDefault="00BB75D2">
      <w:pPr>
        <w:spacing w:after="720"/>
        <w:rPr>
          <w:rFonts w:hint="eastAsia"/>
        </w:rPr>
      </w:pPr>
    </w:p>
    <w:p w14:paraId="6868CE7C" w14:textId="77777777" w:rsidR="00BB75D2" w:rsidRDefault="00000000">
      <w:pPr>
        <w:spacing w:after="140"/>
        <w:jc w:val="left"/>
        <w:rPr>
          <w:rFonts w:hint="eastAsia"/>
        </w:rPr>
      </w:pPr>
      <w:r>
        <w:rPr>
          <w:rFonts w:ascii="Lato" w:eastAsia="Lato" w:hAnsi="Lato" w:cs="Lato"/>
          <w:b/>
          <w:caps/>
          <w:color w:val="B5773B"/>
          <w:sz w:val="23"/>
          <w:lang w:val="fr-FR" w:eastAsia="fr-FR"/>
        </w:rPr>
        <w:t>LA LITTÉRATURE AMAZIGHE AU MAROC</w:t>
      </w:r>
    </w:p>
    <w:p w14:paraId="17C65A3E" w14:textId="77777777" w:rsidR="00BB75D2" w:rsidRDefault="00000000">
      <w:pPr>
        <w:keepNext/>
        <w:spacing w:after="80"/>
        <w:jc w:val="left"/>
        <w:rPr>
          <w:rFonts w:hint="eastAsia"/>
        </w:rPr>
      </w:pPr>
      <w:r>
        <w:rPr>
          <w:rFonts w:eastAsia="EB Garamond" w:cs="EB Garamond"/>
          <w:b/>
          <w:color w:val="173E3D"/>
          <w:sz w:val="64"/>
          <w:lang w:val="fr-FR" w:eastAsia="fr-FR"/>
        </w:rPr>
        <w:t>au XXIᵉ siècle</w:t>
      </w:r>
    </w:p>
    <w:p w14:paraId="2F80C548" w14:textId="77777777" w:rsidR="00BB75D2" w:rsidRDefault="00000000">
      <w:pPr>
        <w:spacing w:after="240"/>
        <w:jc w:val="left"/>
        <w:rPr>
          <w:rFonts w:hint="eastAsia"/>
        </w:rPr>
      </w:pPr>
      <w:r>
        <w:rPr>
          <w:rFonts w:eastAsia="EB Garamond" w:cs="EB Garamond"/>
          <w:sz w:val="46"/>
          <w:lang w:val="fr-FR" w:eastAsia="fr-FR"/>
        </w:rPr>
        <w:t>Enjeux de structuration</w:t>
      </w:r>
      <w:r>
        <w:rPr>
          <w:rFonts w:eastAsia="EB Garamond" w:cs="EB Garamond"/>
          <w:sz w:val="46"/>
          <w:lang w:val="fr-FR" w:eastAsia="fr-FR"/>
        </w:rPr>
        <w:br/>
        <w:t>d’un espace littéraire</w:t>
      </w:r>
    </w:p>
    <w:p w14:paraId="7A1D1CF1" w14:textId="77777777" w:rsidR="00BB75D2" w:rsidRDefault="00000000">
      <w:pPr>
        <w:pBdr>
          <w:top w:val="single" w:sz="12" w:space="4" w:color="B5773B"/>
        </w:pBdr>
        <w:spacing w:before="40" w:after="180"/>
        <w:rPr>
          <w:rFonts w:hint="eastAsia"/>
        </w:rPr>
      </w:pPr>
      <w:r>
        <w:rPr>
          <w:rFonts w:ascii="Lato" w:eastAsia="Lato" w:hAnsi="Lato" w:cs="Lato"/>
          <w:b/>
          <w:caps/>
          <w:color w:val="173E3D"/>
          <w:sz w:val="19"/>
          <w:lang w:val="fr-FR" w:eastAsia="fr-FR"/>
        </w:rPr>
        <w:t>ARGUMENTAIRE SCIENTIFIQUE</w:t>
      </w:r>
    </w:p>
    <w:p w14:paraId="49EC35D2" w14:textId="77777777" w:rsidR="00BB75D2" w:rsidRDefault="00BB75D2">
      <w:pPr>
        <w:spacing w:after="360"/>
        <w:rPr>
          <w:rFonts w:hint="eastAsia"/>
        </w:rPr>
      </w:pPr>
    </w:p>
    <w:p w14:paraId="05D9A544" w14:textId="77777777" w:rsidR="00BB75D2" w:rsidRDefault="00BB75D2">
      <w:pPr>
        <w:spacing w:after="360"/>
        <w:rPr>
          <w:rFonts w:hint="eastAsia"/>
        </w:rPr>
      </w:pPr>
    </w:p>
    <w:p w14:paraId="09A5CB5E" w14:textId="77777777" w:rsidR="00BB75D2" w:rsidRDefault="00BB75D2">
      <w:pPr>
        <w:spacing w:after="360"/>
        <w:rPr>
          <w:rFonts w:hint="eastAsia"/>
        </w:rPr>
      </w:pPr>
    </w:p>
    <w:p w14:paraId="38778853" w14:textId="77777777" w:rsidR="00BB75D2" w:rsidRDefault="00BB75D2">
      <w:pPr>
        <w:spacing w:after="360"/>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412"/>
      </w:tblGrid>
      <w:tr w:rsidR="00BB75D2" w14:paraId="1B5FDBD9" w14:textId="77777777">
        <w:trPr>
          <w:cantSplit/>
          <w:jc w:val="center"/>
        </w:trPr>
        <w:tc>
          <w:tcPr>
            <w:tcW w:w="9412" w:type="dxa"/>
            <w:tcBorders>
              <w:top w:val="nil"/>
              <w:left w:val="single" w:sz="18" w:space="0" w:color="B5773B"/>
              <w:bottom w:val="nil"/>
              <w:right w:val="nil"/>
            </w:tcBorders>
            <w:shd w:val="clear" w:color="auto" w:fill="F4EFE7"/>
            <w:tcMar>
              <w:top w:w="170" w:type="dxa"/>
              <w:left w:w="220" w:type="dxa"/>
              <w:bottom w:w="170" w:type="dxa"/>
              <w:right w:w="220" w:type="dxa"/>
            </w:tcMar>
          </w:tcPr>
          <w:p w14:paraId="5CB5B450" w14:textId="77777777" w:rsidR="00BB75D2" w:rsidRDefault="00000000">
            <w:pPr>
              <w:spacing w:after="80"/>
              <w:rPr>
                <w:rFonts w:hint="eastAsia"/>
              </w:rPr>
            </w:pPr>
            <w:r>
              <w:rPr>
                <w:rFonts w:ascii="Lato" w:eastAsia="Lato" w:hAnsi="Lato" w:cs="Lato"/>
                <w:b/>
                <w:caps/>
                <w:color w:val="B5773B"/>
                <w:sz w:val="16"/>
                <w:lang w:val="fr-FR" w:eastAsia="fr-FR"/>
              </w:rPr>
              <w:t>ORGANISATION SCIENTIFIQUE</w:t>
            </w:r>
          </w:p>
          <w:p w14:paraId="41D34AF0" w14:textId="77777777" w:rsidR="00BB75D2" w:rsidRDefault="00000000">
            <w:pPr>
              <w:spacing w:after="20"/>
              <w:rPr>
                <w:rFonts w:hint="eastAsia"/>
              </w:rPr>
            </w:pPr>
            <w:r>
              <w:rPr>
                <w:rFonts w:ascii="Lato" w:eastAsia="Lato" w:hAnsi="Lato" w:cs="Lato"/>
                <w:b/>
                <w:color w:val="173E3D"/>
                <w:sz w:val="22"/>
                <w:lang w:val="fr-FR" w:eastAsia="fr-FR"/>
              </w:rPr>
              <w:t>Zoé Carle</w:t>
            </w:r>
            <w:r>
              <w:rPr>
                <w:rFonts w:eastAsia="EB Garamond" w:cs="EB Garamond"/>
                <w:lang w:val="fr-FR" w:eastAsia="fr-FR"/>
              </w:rPr>
              <w:t xml:space="preserve">  ·  Université Paris 8 – IUF</w:t>
            </w:r>
          </w:p>
          <w:p w14:paraId="61EEA5EA" w14:textId="4EF1A4A1" w:rsidR="00BB75D2" w:rsidRDefault="00000000">
            <w:pPr>
              <w:spacing w:after="0"/>
              <w:rPr>
                <w:rFonts w:hint="eastAsia"/>
              </w:rPr>
            </w:pPr>
            <w:r>
              <w:rPr>
                <w:rFonts w:ascii="Lato" w:eastAsia="Lato" w:hAnsi="Lato" w:cs="Lato"/>
                <w:b/>
                <w:color w:val="173E3D"/>
                <w:sz w:val="22"/>
                <w:lang w:val="fr-FR" w:eastAsia="fr-FR"/>
              </w:rPr>
              <w:t>Ali Lihi</w:t>
            </w:r>
            <w:r>
              <w:rPr>
                <w:rFonts w:eastAsia="EB Garamond" w:cs="EB Garamond"/>
                <w:lang w:val="fr-FR" w:eastAsia="fr-FR"/>
              </w:rPr>
              <w:t xml:space="preserve">  ·  Université Mohammed V de Rabat</w:t>
            </w:r>
            <w:r w:rsidR="00AB3D8B">
              <w:rPr>
                <w:rFonts w:eastAsia="EB Garamond" w:cs="EB Garamond"/>
                <w:lang w:val="fr-FR" w:eastAsia="fr-FR"/>
              </w:rPr>
              <w:t xml:space="preserve"> - ENSIAS</w:t>
            </w:r>
          </w:p>
        </w:tc>
      </w:tr>
    </w:tbl>
    <w:p w14:paraId="4781E581" w14:textId="77777777" w:rsidR="00BB75D2" w:rsidRDefault="00BB75D2">
      <w:pPr>
        <w:rPr>
          <w:rFonts w:hint="eastAsia"/>
        </w:rPr>
        <w:sectPr w:rsidR="00BB75D2">
          <w:pgSz w:w="11906" w:h="16838"/>
          <w:pgMar w:top="1191" w:right="1247" w:bottom="1134" w:left="1247" w:header="397" w:footer="397" w:gutter="0"/>
          <w:cols w:space="720"/>
          <w:docGrid w:linePitch="360"/>
        </w:sectPr>
      </w:pPr>
    </w:p>
    <w:p w14:paraId="5D4E5F40" w14:textId="77777777" w:rsidR="00BB75D2" w:rsidRDefault="00000000">
      <w:pPr>
        <w:pStyle w:val="SectionHeading"/>
        <w:pBdr>
          <w:bottom w:val="single" w:sz="10" w:space="4" w:color="B5773B"/>
        </w:pBdr>
        <w:rPr>
          <w:rFonts w:hint="eastAsia"/>
        </w:rPr>
      </w:pPr>
      <w:r>
        <w:rPr>
          <w:rFonts w:eastAsia="Lato" w:cs="Lato"/>
          <w:lang w:val="fr-FR" w:eastAsia="fr-FR"/>
        </w:rPr>
        <w:lastRenderedPageBreak/>
        <w:t>Argumentaire</w:t>
      </w:r>
    </w:p>
    <w:p w14:paraId="22A90ED7" w14:textId="77777777" w:rsidR="00BB75D2" w:rsidRDefault="00000000">
      <w:pPr>
        <w:pStyle w:val="BodyIntro"/>
        <w:rPr>
          <w:rFonts w:hint="eastAsia"/>
        </w:rPr>
      </w:pPr>
      <w:r>
        <w:rPr>
          <w:rFonts w:eastAsia="EB Garamond" w:cs="EB Garamond"/>
          <w:lang w:val="fr-FR" w:eastAsia="fr-FR"/>
        </w:rPr>
        <w:t>L’émergence du roman amazighe au Maroc est généralement située en 1994, avec la publication d’</w:t>
      </w:r>
      <w:r>
        <w:rPr>
          <w:rFonts w:eastAsia="EB Garamond" w:cs="EB Garamond"/>
          <w:i/>
          <w:lang w:val="fr-FR" w:eastAsia="fr-FR"/>
        </w:rPr>
        <w:t>Asekkif n yinzaden</w:t>
      </w:r>
      <w:r>
        <w:rPr>
          <w:rFonts w:eastAsia="EB Garamond" w:cs="EB Garamond"/>
          <w:lang w:val="fr-FR" w:eastAsia="fr-FR"/>
        </w:rPr>
        <w:t xml:space="preserve"> d’Ali Ikken. Depuis cette première parution, la production s’est progressivement développée : un premier recensement, arrêté en 2026, permet d’identifier près de 145 romans publiés en amazighe au Maroc. Cette croissance quantitative s’est accompagnée d’une nette diversification thématique. Aux récits centrés sur la revendication identitaire se sont ajoutés des romans abordant l’amour, la lutte ouvrière, l’intime, le religieux, l’histoire, les transformations sociales, l’enfance, l’école ou encore la vie estudiantine. La production s’est également diversifiée sur le plan générique, avec le développement du roman d’apprentissage, du roman historique et du roman policier. Le roman amazigh occupe ainsi une place désormais significative dans la production littéraire amazighe, bien que sa présence demeure fragile dans les circuits éditoriaux, institutionnels et critiques marocains.</w:t>
      </w:r>
    </w:p>
    <w:p w14:paraId="4AAB19DC" w14:textId="77777777" w:rsidR="00BB75D2" w:rsidRDefault="00000000">
      <w:pPr>
        <w:pStyle w:val="BodyPro"/>
        <w:rPr>
          <w:rFonts w:hint="eastAsia"/>
        </w:rPr>
      </w:pPr>
      <w:r>
        <w:rPr>
          <w:rFonts w:eastAsia="EB Garamond" w:cs="EB Garamond"/>
          <w:lang w:val="fr-FR" w:eastAsia="fr-FR"/>
        </w:rPr>
        <w:t>La multiplication des œuvres, des auteurs, des maisons d’édition et des travaux universitaires témoigne de la constitution progressive d’un espace littéraire amazighe au Maroc. L’activité éditoriale s’organise notamment autour de structures implantées dans différents foyers régionaux, telles qu’Ad Nuru s Tmazight dans le Sud-Est, Tirra dans le Souss et Tanoukra Éditions dans le Rif. Cette répartition géographique fait apparaître plusieurs pôles de production et de publication, ainsi que des réseaux différenciés d’auteurs, d’éditeurs et de lecteurs. Cet espace ne se réduit donc plus à une juxtaposition d’initiatives individuelles : il repose sur des circuits de production, de publication, de diffusion et de reconnaissance qui permettent de poser l’hypothèse de l’émergence d’un espace littéraire amazigh doté de logiques propres. Il reste toutefois à déterminer si celui-ci constitue un sous-champ du champ littéraire marocain, un champ relativement autonome ou une configuration transnationale organisée autour de plusieurs pôles.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412"/>
      </w:tblGrid>
      <w:tr w:rsidR="00BB75D2" w14:paraId="5E8CD06F" w14:textId="77777777">
        <w:trPr>
          <w:cantSplit/>
          <w:jc w:val="center"/>
        </w:trPr>
        <w:tc>
          <w:tcPr>
            <w:tcW w:w="9412" w:type="dxa"/>
            <w:tcBorders>
              <w:top w:val="nil"/>
              <w:left w:val="single" w:sz="20" w:space="0" w:color="B5773B"/>
              <w:bottom w:val="nil"/>
              <w:right w:val="nil"/>
            </w:tcBorders>
            <w:shd w:val="clear" w:color="auto" w:fill="F4EFE7"/>
            <w:tcMar>
              <w:top w:w="130" w:type="dxa"/>
              <w:left w:w="210" w:type="dxa"/>
              <w:bottom w:w="130" w:type="dxa"/>
              <w:right w:w="180" w:type="dxa"/>
            </w:tcMar>
          </w:tcPr>
          <w:p w14:paraId="210BD8E7" w14:textId="77777777" w:rsidR="00BB75D2" w:rsidRDefault="00000000">
            <w:pPr>
              <w:pStyle w:val="BodyPro"/>
              <w:spacing w:after="0"/>
              <w:rPr>
                <w:rFonts w:hint="eastAsia"/>
              </w:rPr>
            </w:pPr>
            <w:r>
              <w:rPr>
                <w:rFonts w:eastAsia="EB Garamond" w:cs="EB Garamond"/>
                <w:lang w:val="fr-FR" w:eastAsia="fr-FR"/>
              </w:rPr>
              <w:t>L’emploi de la notion de champ ne suppose cependant pas l’existence d’un espace pleinement autonome et stabilisé. Il invite précisément à en examiner les conditions de formation, les tensions internes et les rapports de dépendance. Quels acteurs participent à sa constitution ? Quelles institutions assurent la publication, la diffusion et la légitimation des œuvres ? Existe-t-il des instances critiques, des publics et des principes de reconnaissance spécifiques ? Dans quelle mesure cet espace reste-t-il dépendant des institutions universitaires, des associations culturelles, des politiques linguistiques et des champs littéraires de langue arabe ou française ?</w:t>
            </w:r>
          </w:p>
        </w:tc>
      </w:tr>
    </w:tbl>
    <w:p w14:paraId="5B252D35" w14:textId="77777777" w:rsidR="00BB75D2" w:rsidRDefault="00BB75D2">
      <w:pPr>
        <w:spacing w:after="20"/>
        <w:rPr>
          <w:rFonts w:hint="eastAsia"/>
        </w:rPr>
      </w:pPr>
    </w:p>
    <w:p w14:paraId="3C441FE6" w14:textId="77777777" w:rsidR="00BB75D2" w:rsidRDefault="00000000">
      <w:pPr>
        <w:pStyle w:val="BodyPro"/>
        <w:rPr>
          <w:rFonts w:hint="eastAsia"/>
        </w:rPr>
      </w:pPr>
      <w:r>
        <w:rPr>
          <w:rFonts w:eastAsia="EB Garamond" w:cs="EB Garamond"/>
          <w:lang w:val="fr-FR" w:eastAsia="fr-FR"/>
        </w:rPr>
        <w:t>La journée d’étude propose de prendre le roman pour objet central, tout en le replaçant dans l’ensemble des formes narratives amazighes produites au Maroc. La nouvelle, le récit autobiographique, le récit de vie et les formes narratives destinées à la jeunesse pourront être abordés dans la mesure où leur étude permet d’éclairer les frontières génériques, les conditions d’émergence et les transformations contemporaines du roman amazigh. L’analyse portera également sur les trajectoires des écrivains, le rôle des maisons d’édition, la formation des lectorats, la fixation des normes linguistiques et les modalités de reconnaissance des œuvres.</w:t>
      </w:r>
    </w:p>
    <w:p w14:paraId="1C8885A3" w14:textId="77777777" w:rsidR="00BB75D2" w:rsidRDefault="00000000">
      <w:pPr>
        <w:pStyle w:val="BodyPro"/>
        <w:rPr>
          <w:rFonts w:hint="eastAsia"/>
        </w:rPr>
      </w:pPr>
      <w:r>
        <w:rPr>
          <w:rFonts w:eastAsia="EB Garamond" w:cs="EB Garamond"/>
          <w:lang w:val="fr-FR" w:eastAsia="fr-FR"/>
        </w:rPr>
        <w:t>Les travaux consacrés à la littérature amazighe ont largement contribué à l’identification des corpus, à l’histoire des genres et à l’analyse linguistique et thématique des œuvres. Le déplacement proposé ici consiste à compléter ces approches par une étude relationnelle de l’espace littéraire : positions occupées par les auteurs, rapports entre centres et périphéries, mécanismes de consécration, concurrence entre normes et inégalités de visibilité et de circulation.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412"/>
      </w:tblGrid>
      <w:tr w:rsidR="00BB75D2" w14:paraId="66CB24B6" w14:textId="77777777">
        <w:trPr>
          <w:cantSplit/>
          <w:jc w:val="center"/>
        </w:trPr>
        <w:tc>
          <w:tcPr>
            <w:tcW w:w="9412" w:type="dxa"/>
            <w:tcBorders>
              <w:top w:val="nil"/>
              <w:left w:val="single" w:sz="20" w:space="0" w:color="173E3D"/>
              <w:bottom w:val="nil"/>
              <w:right w:val="nil"/>
            </w:tcBorders>
            <w:shd w:val="clear" w:color="auto" w:fill="E7EFED"/>
            <w:tcMar>
              <w:top w:w="130" w:type="dxa"/>
              <w:left w:w="210" w:type="dxa"/>
              <w:bottom w:w="130" w:type="dxa"/>
              <w:right w:w="180" w:type="dxa"/>
            </w:tcMar>
          </w:tcPr>
          <w:p w14:paraId="3C7B71D7" w14:textId="77777777" w:rsidR="00BB75D2" w:rsidRDefault="00000000">
            <w:pPr>
              <w:pStyle w:val="BodyPro"/>
              <w:spacing w:after="0"/>
              <w:rPr>
                <w:rFonts w:hint="eastAsia"/>
              </w:rPr>
            </w:pPr>
            <w:r>
              <w:rPr>
                <w:rFonts w:eastAsia="EB Garamond" w:cs="EB Garamond"/>
                <w:lang w:val="fr-FR" w:eastAsia="fr-FR"/>
              </w:rPr>
              <w:lastRenderedPageBreak/>
              <w:t>L’hypothèse qui guidera la réflexion est ainsi double. D’une part, le roman amazigh participe à la constitution d’un espace littéraire spécifique, encore faiblement institutionnalisé et relativement dépendant d’autres espaces de légitimation. D’autre part, son étude invite à ne pas le considérer comme un simple secteur périphérique des littératures maghrébines, mais à examiner la manière dont il en complexifie les découpages linguistiques, nationaux et institutionnels.</w:t>
            </w:r>
          </w:p>
        </w:tc>
      </w:tr>
    </w:tbl>
    <w:p w14:paraId="1A4C51A1" w14:textId="77777777" w:rsidR="00BB75D2" w:rsidRDefault="00BB75D2">
      <w:pPr>
        <w:spacing w:after="20"/>
        <w:rPr>
          <w:rFonts w:hint="eastAsia"/>
        </w:rPr>
      </w:pPr>
    </w:p>
    <w:p w14:paraId="7CE45C76" w14:textId="77777777" w:rsidR="00BB75D2" w:rsidRDefault="00000000">
      <w:pPr>
        <w:pageBreakBefore/>
        <w:rPr>
          <w:rFonts w:hint="eastAsia"/>
        </w:rPr>
      </w:pPr>
      <w:r>
        <w:lastRenderedPageBreak/>
        <w:br/>
      </w:r>
    </w:p>
    <w:p w14:paraId="5FBC05F0" w14:textId="77777777" w:rsidR="00BB75D2" w:rsidRDefault="00000000">
      <w:pPr>
        <w:pStyle w:val="SectionHeading"/>
        <w:pBdr>
          <w:bottom w:val="single" w:sz="10" w:space="4" w:color="B5773B"/>
        </w:pBdr>
        <w:rPr>
          <w:rFonts w:hint="eastAsia"/>
        </w:rPr>
      </w:pPr>
      <w:r>
        <w:rPr>
          <w:rFonts w:eastAsia="Lato" w:cs="Lato"/>
          <w:lang w:val="fr-FR" w:eastAsia="fr-FR"/>
        </w:rPr>
        <w:t>Axes proposés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4706"/>
      </w:tblGrid>
      <w:tr w:rsidR="00BB75D2" w14:paraId="1E0BE3AA" w14:textId="77777777">
        <w:trPr>
          <w:cantSplit/>
          <w:jc w:val="center"/>
        </w:trPr>
        <w:tc>
          <w:tcPr>
            <w:tcW w:w="4706" w:type="dxa"/>
            <w:shd w:val="clear" w:color="auto" w:fill="173E3D"/>
            <w:tcMar>
              <w:top w:w="90" w:type="dxa"/>
              <w:left w:w="70" w:type="dxa"/>
              <w:bottom w:w="90" w:type="dxa"/>
              <w:right w:w="70" w:type="dxa"/>
            </w:tcMar>
            <w:vAlign w:val="center"/>
          </w:tcPr>
          <w:p w14:paraId="4B3CB7C1" w14:textId="77777777" w:rsidR="00BB75D2" w:rsidRDefault="00000000">
            <w:pPr>
              <w:spacing w:after="0"/>
              <w:jc w:val="center"/>
              <w:rPr>
                <w:rFonts w:hint="eastAsia"/>
              </w:rPr>
            </w:pPr>
            <w:r>
              <w:rPr>
                <w:rFonts w:ascii="Lato" w:eastAsia="Lato" w:hAnsi="Lato" w:cs="Lato"/>
                <w:b/>
                <w:color w:val="FFFFFF"/>
                <w:sz w:val="25"/>
                <w:lang w:val="fr-FR" w:eastAsia="fr-FR"/>
              </w:rPr>
              <w:t>01</w:t>
            </w:r>
          </w:p>
        </w:tc>
        <w:tc>
          <w:tcPr>
            <w:tcW w:w="4706" w:type="dxa"/>
            <w:shd w:val="clear" w:color="auto" w:fill="E7EFED"/>
            <w:tcMar>
              <w:top w:w="90" w:type="dxa"/>
              <w:left w:w="170" w:type="dxa"/>
              <w:bottom w:w="90" w:type="dxa"/>
              <w:right w:w="170" w:type="dxa"/>
            </w:tcMar>
            <w:vAlign w:val="center"/>
          </w:tcPr>
          <w:p w14:paraId="736252B5" w14:textId="77777777" w:rsidR="00BB75D2" w:rsidRDefault="00000000">
            <w:pPr>
              <w:spacing w:after="0"/>
              <w:rPr>
                <w:rFonts w:hint="eastAsia"/>
              </w:rPr>
            </w:pPr>
            <w:r>
              <w:rPr>
                <w:rFonts w:ascii="Lato" w:eastAsia="Lato" w:hAnsi="Lato" w:cs="Lato"/>
                <w:b/>
                <w:color w:val="173E3D"/>
                <w:sz w:val="24"/>
                <w:lang w:val="fr-FR" w:eastAsia="fr-FR"/>
              </w:rPr>
              <w:t>Acteurs, institutions et formes de légitimation</w:t>
            </w:r>
          </w:p>
        </w:tc>
      </w:tr>
    </w:tbl>
    <w:p w14:paraId="4929B89D" w14:textId="77777777" w:rsidR="00BB75D2" w:rsidRDefault="00000000">
      <w:pPr>
        <w:pStyle w:val="BodyPro"/>
        <w:rPr>
          <w:rFonts w:hint="eastAsia"/>
        </w:rPr>
      </w:pPr>
      <w:r>
        <w:rPr>
          <w:rFonts w:eastAsia="EB Garamond" w:cs="EB Garamond"/>
          <w:lang w:val="fr-FR" w:eastAsia="fr-FR"/>
        </w:rPr>
        <w:t>La réflexion portera sur les conditions matérielles, sociales et institutionnelles de production et de reconnaissance des œuvres. L’espace littéraire amazighe repose encore largement sur des maisons d’édition aux moyens limités, des réseaux associatifs, des institutions culturelles, des universités et des initiatives individuelles. Il conviendra d’étudier les relations entre ces différents acteurs, les trajectoires des écrivains, ainsi que le rôle de la critique, de l’enseignement, des prix littéraires, de la traduction et des autres mécanismes de consécration. Cet axe permettra également d’interroger la formation des lectorats et les formes de reconnaissance dont bénéficient les œuvres, à l’intérieur comme à l’extérieur de l’espace littéraire amazighe.</w:t>
      </w:r>
    </w:p>
    <w:p w14:paraId="609C404A" w14:textId="77777777" w:rsidR="00BB75D2" w:rsidRDefault="00BB75D2">
      <w:pPr>
        <w:spacing w:after="60"/>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4706"/>
      </w:tblGrid>
      <w:tr w:rsidR="00BB75D2" w14:paraId="6CCC5C0C" w14:textId="77777777">
        <w:trPr>
          <w:cantSplit/>
          <w:jc w:val="center"/>
        </w:trPr>
        <w:tc>
          <w:tcPr>
            <w:tcW w:w="4706" w:type="dxa"/>
            <w:shd w:val="clear" w:color="auto" w:fill="173E3D"/>
            <w:tcMar>
              <w:top w:w="90" w:type="dxa"/>
              <w:left w:w="70" w:type="dxa"/>
              <w:bottom w:w="90" w:type="dxa"/>
              <w:right w:w="70" w:type="dxa"/>
            </w:tcMar>
            <w:vAlign w:val="center"/>
          </w:tcPr>
          <w:p w14:paraId="655B4E3E" w14:textId="77777777" w:rsidR="00BB75D2" w:rsidRDefault="00000000">
            <w:pPr>
              <w:spacing w:after="0"/>
              <w:jc w:val="center"/>
              <w:rPr>
                <w:rFonts w:hint="eastAsia"/>
              </w:rPr>
            </w:pPr>
            <w:r>
              <w:rPr>
                <w:rFonts w:ascii="Lato" w:eastAsia="Lato" w:hAnsi="Lato" w:cs="Lato"/>
                <w:b/>
                <w:color w:val="FFFFFF"/>
                <w:sz w:val="25"/>
                <w:lang w:val="fr-FR" w:eastAsia="fr-FR"/>
              </w:rPr>
              <w:t>02</w:t>
            </w:r>
          </w:p>
        </w:tc>
        <w:tc>
          <w:tcPr>
            <w:tcW w:w="4706" w:type="dxa"/>
            <w:shd w:val="clear" w:color="auto" w:fill="E7EFED"/>
            <w:tcMar>
              <w:top w:w="90" w:type="dxa"/>
              <w:left w:w="170" w:type="dxa"/>
              <w:bottom w:w="90" w:type="dxa"/>
              <w:right w:w="170" w:type="dxa"/>
            </w:tcMar>
            <w:vAlign w:val="center"/>
          </w:tcPr>
          <w:p w14:paraId="7AD587EC" w14:textId="77777777" w:rsidR="00BB75D2" w:rsidRDefault="00000000">
            <w:pPr>
              <w:spacing w:after="0"/>
              <w:rPr>
                <w:rFonts w:hint="eastAsia"/>
              </w:rPr>
            </w:pPr>
            <w:r>
              <w:rPr>
                <w:rFonts w:ascii="Lato" w:eastAsia="Lato" w:hAnsi="Lato" w:cs="Lato"/>
                <w:b/>
                <w:color w:val="173E3D"/>
                <w:sz w:val="24"/>
                <w:lang w:val="fr-FR" w:eastAsia="fr-FR"/>
              </w:rPr>
              <w:t>Roman, formes narratives et réélaboration de l’oralité</w:t>
            </w:r>
          </w:p>
        </w:tc>
      </w:tr>
    </w:tbl>
    <w:p w14:paraId="76F4272D" w14:textId="77777777" w:rsidR="00BB75D2" w:rsidRDefault="00000000">
      <w:pPr>
        <w:pStyle w:val="BodyPro"/>
        <w:rPr>
          <w:rFonts w:hint="eastAsia"/>
        </w:rPr>
      </w:pPr>
      <w:r>
        <w:rPr>
          <w:rFonts w:eastAsia="EB Garamond" w:cs="EB Garamond"/>
          <w:lang w:val="fr-FR" w:eastAsia="fr-FR"/>
        </w:rPr>
        <w:t>L’écriture romanesque en amazighe s’élabore notamment à partir de ressources issues de l’oralité : contes, proverbes, chants, récits généalogiques, mémoires collectives et formes communautaires de prise de parole. L’enjeu ne sera pas d’opposer mécaniquement oralité et écriture, mais d’étudier les modalités selon lesquelles ces héritages sont repris, transformés et réorganisés par l’écriture romanesque. Cet axe pourra également accueillir des travaux consacrés à l’émergence et à la diversification des formes narratives, aux voix et aux dispositifs d’énonciation, ainsi qu’aux relations que le roman entretient avec la nouvelle, le récit autobiographique, le récit de vie ou la littérature destinée à la jeunesse.</w:t>
      </w:r>
    </w:p>
    <w:p w14:paraId="0F8FDC11" w14:textId="77777777" w:rsidR="00BB75D2" w:rsidRDefault="00BB75D2">
      <w:pPr>
        <w:spacing w:after="60"/>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4706"/>
      </w:tblGrid>
      <w:tr w:rsidR="00BB75D2" w14:paraId="4A47F8BF" w14:textId="77777777">
        <w:trPr>
          <w:cantSplit/>
          <w:jc w:val="center"/>
        </w:trPr>
        <w:tc>
          <w:tcPr>
            <w:tcW w:w="4706" w:type="dxa"/>
            <w:shd w:val="clear" w:color="auto" w:fill="173E3D"/>
            <w:tcMar>
              <w:top w:w="90" w:type="dxa"/>
              <w:left w:w="70" w:type="dxa"/>
              <w:bottom w:w="90" w:type="dxa"/>
              <w:right w:w="70" w:type="dxa"/>
            </w:tcMar>
            <w:vAlign w:val="center"/>
          </w:tcPr>
          <w:p w14:paraId="1CFA2F40" w14:textId="77777777" w:rsidR="00BB75D2" w:rsidRDefault="00000000">
            <w:pPr>
              <w:spacing w:after="0"/>
              <w:jc w:val="center"/>
              <w:rPr>
                <w:rFonts w:hint="eastAsia"/>
              </w:rPr>
            </w:pPr>
            <w:r>
              <w:rPr>
                <w:rFonts w:ascii="Lato" w:eastAsia="Lato" w:hAnsi="Lato" w:cs="Lato"/>
                <w:b/>
                <w:color w:val="FFFFFF"/>
                <w:sz w:val="25"/>
                <w:lang w:val="fr-FR" w:eastAsia="fr-FR"/>
              </w:rPr>
              <w:t>03</w:t>
            </w:r>
          </w:p>
        </w:tc>
        <w:tc>
          <w:tcPr>
            <w:tcW w:w="4706" w:type="dxa"/>
            <w:shd w:val="clear" w:color="auto" w:fill="E7EFED"/>
            <w:tcMar>
              <w:top w:w="90" w:type="dxa"/>
              <w:left w:w="170" w:type="dxa"/>
              <w:bottom w:w="90" w:type="dxa"/>
              <w:right w:w="170" w:type="dxa"/>
            </w:tcMar>
            <w:vAlign w:val="center"/>
          </w:tcPr>
          <w:p w14:paraId="44F37122" w14:textId="77777777" w:rsidR="00BB75D2" w:rsidRDefault="00000000">
            <w:pPr>
              <w:spacing w:after="0"/>
              <w:rPr>
                <w:rFonts w:hint="eastAsia"/>
              </w:rPr>
            </w:pPr>
            <w:r>
              <w:rPr>
                <w:rFonts w:ascii="Lato" w:eastAsia="Lato" w:hAnsi="Lato" w:cs="Lato"/>
                <w:b/>
                <w:color w:val="173E3D"/>
                <w:sz w:val="24"/>
                <w:lang w:val="fr-FR" w:eastAsia="fr-FR"/>
              </w:rPr>
              <w:t>Langues, graphies, traductions et lectorats</w:t>
            </w:r>
          </w:p>
        </w:tc>
      </w:tr>
    </w:tbl>
    <w:p w14:paraId="461E9798" w14:textId="77777777" w:rsidR="00BB75D2" w:rsidRDefault="00000000">
      <w:pPr>
        <w:pStyle w:val="BodyPro"/>
        <w:rPr>
          <w:rFonts w:hint="eastAsia"/>
        </w:rPr>
      </w:pPr>
      <w:r>
        <w:rPr>
          <w:rFonts w:eastAsia="EB Garamond" w:cs="EB Garamond"/>
          <w:lang w:val="fr-FR" w:eastAsia="fr-FR"/>
        </w:rPr>
        <w:t>La production littéraire amazighe se développe dans un environnement plurilingue où coexistent l’amazighe, l’arabe et le français. La variation linguistique, l’alternance codique, la traduction et l’auto-traduction façonnent les œuvres, mais déterminent également leurs conditions de publication, de circulation et de réception. Ces pratiques soulèvent la question de la norme linguistique, du choix de la graphie et de la constitution des lectorats : Comment les écrivains, les éditeurs et les traducteurs arbitrent-ils entre variétés linguistiques, normes et graphies ? Quels publics ces choix construisent-ils, incluent-ils ou, au contraire, tiennent-ils à distance ? Il conviendra également d’examiner les effets de la standardisation sur les pratiques littéraires et sur la diversité linguistique des œuvres.</w:t>
      </w:r>
    </w:p>
    <w:p w14:paraId="1EAA84C0" w14:textId="77777777" w:rsidR="00BB75D2" w:rsidRDefault="00BB75D2">
      <w:pPr>
        <w:spacing w:after="60"/>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4706"/>
      </w:tblGrid>
      <w:tr w:rsidR="00BB75D2" w14:paraId="135EB76B" w14:textId="77777777">
        <w:trPr>
          <w:cantSplit/>
          <w:jc w:val="center"/>
        </w:trPr>
        <w:tc>
          <w:tcPr>
            <w:tcW w:w="4706" w:type="dxa"/>
            <w:shd w:val="clear" w:color="auto" w:fill="173E3D"/>
            <w:tcMar>
              <w:top w:w="90" w:type="dxa"/>
              <w:left w:w="70" w:type="dxa"/>
              <w:bottom w:w="90" w:type="dxa"/>
              <w:right w:w="70" w:type="dxa"/>
            </w:tcMar>
            <w:vAlign w:val="center"/>
          </w:tcPr>
          <w:p w14:paraId="0EB38E1F" w14:textId="77777777" w:rsidR="00BB75D2" w:rsidRDefault="00000000">
            <w:pPr>
              <w:spacing w:after="0"/>
              <w:jc w:val="center"/>
              <w:rPr>
                <w:rFonts w:hint="eastAsia"/>
              </w:rPr>
            </w:pPr>
            <w:r>
              <w:rPr>
                <w:rFonts w:ascii="Lato" w:eastAsia="Lato" w:hAnsi="Lato" w:cs="Lato"/>
                <w:b/>
                <w:color w:val="FFFFFF"/>
                <w:sz w:val="25"/>
                <w:lang w:val="fr-FR" w:eastAsia="fr-FR"/>
              </w:rPr>
              <w:t>04</w:t>
            </w:r>
          </w:p>
        </w:tc>
        <w:tc>
          <w:tcPr>
            <w:tcW w:w="4706" w:type="dxa"/>
            <w:shd w:val="clear" w:color="auto" w:fill="E7EFED"/>
            <w:tcMar>
              <w:top w:w="90" w:type="dxa"/>
              <w:left w:w="170" w:type="dxa"/>
              <w:bottom w:w="90" w:type="dxa"/>
              <w:right w:w="170" w:type="dxa"/>
            </w:tcMar>
            <w:vAlign w:val="center"/>
          </w:tcPr>
          <w:p w14:paraId="196002F9" w14:textId="77777777" w:rsidR="00BB75D2" w:rsidRDefault="00000000">
            <w:pPr>
              <w:spacing w:after="0"/>
              <w:rPr>
                <w:rFonts w:hint="eastAsia"/>
              </w:rPr>
            </w:pPr>
            <w:r>
              <w:rPr>
                <w:rFonts w:ascii="Lato" w:eastAsia="Lato" w:hAnsi="Lato" w:cs="Lato"/>
                <w:b/>
                <w:color w:val="173E3D"/>
                <w:sz w:val="24"/>
                <w:lang w:val="fr-FR" w:eastAsia="fr-FR"/>
              </w:rPr>
              <w:t>Territoires, circulations et pôles de production</w:t>
            </w:r>
          </w:p>
        </w:tc>
      </w:tr>
    </w:tbl>
    <w:p w14:paraId="33AF36C0" w14:textId="77777777" w:rsidR="00BB75D2" w:rsidRDefault="00000000">
      <w:pPr>
        <w:pStyle w:val="BodyPro"/>
        <w:rPr>
          <w:rFonts w:hint="eastAsia"/>
        </w:rPr>
      </w:pPr>
      <w:r>
        <w:rPr>
          <w:rFonts w:eastAsia="EB Garamond" w:cs="EB Garamond"/>
          <w:lang w:val="fr-FR" w:eastAsia="fr-FR"/>
        </w:rPr>
        <w:t>La dimension territoriale mérite également d’être interrogée. Les lieux représentés dans les romans organisent les mémoires, les trajectoires et les expériences de la mobilité, de l’exil ou de la marginalisation. Il conviendra aussi d’examiner si les différentes régions amazighophones correspondent à des pôles de production distincts, structurés par des réseaux particuliers d’auteurs, d’éditeurs et d’associations.</w:t>
      </w:r>
    </w:p>
    <w:p w14:paraId="63D42409" w14:textId="77777777" w:rsidR="00BB75D2" w:rsidRDefault="00000000">
      <w:pPr>
        <w:pStyle w:val="BodyPro"/>
        <w:rPr>
          <w:rFonts w:hint="eastAsia"/>
        </w:rPr>
      </w:pPr>
      <w:r>
        <w:rPr>
          <w:rFonts w:eastAsia="EB Garamond" w:cs="EB Garamond"/>
          <w:lang w:val="fr-FR" w:eastAsia="fr-FR"/>
        </w:rPr>
        <w:lastRenderedPageBreak/>
        <w:t>La circulation des œuvres sera envisagée à plusieurs échelles : régionale, marocaine, maghrébine et diasporique. Les relations avec la Kabylie et les autres espaces amazighophones permettent notamment de se demander si le champ littéraire amazighe doit être pensé comme un ensemble national, comme un espace transmaghrébin ou comme une configuration plurielle constituée de plusieurs pôles relativement autonomes.</w:t>
      </w:r>
    </w:p>
    <w:p w14:paraId="5C7767A0" w14:textId="77777777" w:rsidR="00BB75D2" w:rsidRDefault="00BB75D2">
      <w:pPr>
        <w:pBdr>
          <w:top w:val="single" w:sz="8" w:space="5" w:color="B5773B"/>
        </w:pBdr>
        <w:spacing w:before="160" w:after="120"/>
        <w:rPr>
          <w:rFonts w:hint="eastAsia"/>
        </w:rPr>
      </w:pPr>
    </w:p>
    <w:p w14:paraId="6BCF56B7" w14:textId="77777777" w:rsidR="00BB75D2" w:rsidRDefault="00000000">
      <w:pPr>
        <w:pStyle w:val="BodyPro"/>
        <w:rPr>
          <w:rFonts w:hint="eastAsia"/>
        </w:rPr>
      </w:pPr>
      <w:r>
        <w:rPr>
          <w:rFonts w:eastAsia="EB Garamond" w:cs="EB Garamond"/>
          <w:lang w:val="fr-FR" w:eastAsia="fr-FR"/>
        </w:rPr>
        <w:t>La journée entend réunir des chercheurs issus des études littéraires, de la linguistique, de la sociologie, de l’anthropologie et de l’histoire culturelle, ainsi que, dans la mesure du possible, des écrivains, des éditeurs et des traducteurs. Le croisement de ces approches permettra d’articuler l’analyse des œuvres à celle de leurs conditions matérielles, sociales et institutionnelles de production, de circulation et de reconnaissance.</w:t>
      </w:r>
    </w:p>
    <w:p w14:paraId="0C3E9269" w14:textId="77777777" w:rsidR="00BB75D2" w:rsidRDefault="00000000">
      <w:pPr>
        <w:pStyle w:val="BodyPro"/>
        <w:rPr>
          <w:rFonts w:hint="eastAsia"/>
        </w:rPr>
      </w:pPr>
      <w:r>
        <w:rPr>
          <w:rFonts w:eastAsia="EB Garamond" w:cs="EB Garamond"/>
          <w:lang w:val="fr-FR" w:eastAsia="fr-FR"/>
        </w:rPr>
        <w:t>Une sélection de contributions, retenues pour leur qualité scientifique et leur inscription dans les problématiques de la journée, pourra être remaniée en vue d’un ouvrage collectif proposé à un éditeur académique reconnu.</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412"/>
        <w:gridCol w:w="20"/>
      </w:tblGrid>
      <w:tr w:rsidR="00BB75D2" w14:paraId="69819E92" w14:textId="77777777">
        <w:trPr>
          <w:gridAfter w:val="1"/>
          <w:wAfter w:w="20" w:type="dxa"/>
          <w:cantSplit/>
          <w:jc w:val="center"/>
        </w:trPr>
        <w:tc>
          <w:tcPr>
            <w:tcW w:w="9412" w:type="dxa"/>
            <w:tcBorders>
              <w:top w:val="nil"/>
              <w:left w:val="single" w:sz="20" w:space="0" w:color="B5773B"/>
              <w:bottom w:val="nil"/>
              <w:right w:val="nil"/>
            </w:tcBorders>
            <w:shd w:val="clear" w:color="auto" w:fill="F4EFE7"/>
            <w:tcMar>
              <w:top w:w="75" w:type="dxa"/>
              <w:left w:w="210" w:type="dxa"/>
              <w:bottom w:w="75" w:type="dxa"/>
              <w:right w:w="180" w:type="dxa"/>
            </w:tcMar>
          </w:tcPr>
          <w:p w14:paraId="57837739" w14:textId="77777777" w:rsidR="00BB75D2" w:rsidRDefault="00000000">
            <w:pPr>
              <w:pStyle w:val="BodyPro"/>
              <w:spacing w:after="0"/>
              <w:rPr>
                <w:rFonts w:hint="eastAsia"/>
              </w:rPr>
            </w:pPr>
            <w:r>
              <w:rPr>
                <w:rFonts w:eastAsia="EB Garamond" w:cs="EB Garamond"/>
                <w:sz w:val="20"/>
                <w:lang w:val="fr-FR" w:eastAsia="fr-FR"/>
              </w:rPr>
              <w:t>Le projet vise ainsi à étudier la littérature amazighe non comme un corpus périphérique qu’il suffirait d’ajouter aux histoires littéraires existantes, mais comme un espace doté de dynamiques propres, dont l’analyse oblige à reconsidérer les découpages linguistiques, territoriaux et institutionnels de la littérature marocaine.</w:t>
            </w:r>
          </w:p>
        </w:tc>
      </w:tr>
      <w:tr w:rsidR="00BB75D2" w14:paraId="0B45CD38" w14:textId="77777777">
        <w:trPr>
          <w:cantSplit/>
          <w:jc w:val="center"/>
        </w:trPr>
        <w:tc>
          <w:tcPr>
            <w:tcW w:w="9412" w:type="dxa"/>
            <w:gridSpan w:val="2"/>
            <w:shd w:val="clear" w:color="auto" w:fill="173E3D"/>
            <w:tcMar>
              <w:top w:w="75" w:type="dxa"/>
              <w:left w:w="190" w:type="dxa"/>
              <w:bottom w:w="75" w:type="dxa"/>
              <w:right w:w="190" w:type="dxa"/>
            </w:tcMar>
          </w:tcPr>
          <w:p w14:paraId="2CAD3137" w14:textId="4F0FFA87" w:rsidR="00BB75D2" w:rsidRDefault="00000000">
            <w:pPr>
              <w:spacing w:after="0"/>
              <w:jc w:val="left"/>
              <w:rPr>
                <w:rFonts w:hint="eastAsia"/>
              </w:rPr>
            </w:pPr>
            <w:r>
              <w:rPr>
                <w:rFonts w:ascii="Lato" w:eastAsia="Lato" w:hAnsi="Lato" w:cs="Lato"/>
                <w:b/>
                <w:color w:val="B5773B"/>
                <w:sz w:val="17"/>
                <w:lang w:val="fr-FR" w:eastAsia="fr-FR"/>
              </w:rPr>
              <w:t xml:space="preserve">ORGANISATEURS  </w:t>
            </w:r>
            <w:r>
              <w:rPr>
                <w:rFonts w:eastAsia="EB Garamond" w:cs="EB Garamond"/>
                <w:color w:val="FFFFFF"/>
                <w:sz w:val="19"/>
                <w:lang w:val="fr-FR" w:eastAsia="fr-FR"/>
              </w:rPr>
              <w:t>Zoé Carle (Université Paris 8 – IUF)  ·  Ali Lihi (Université Mohammed V de Rabat</w:t>
            </w:r>
            <w:r w:rsidR="00AB3D8B">
              <w:rPr>
                <w:rFonts w:eastAsia="EB Garamond" w:cs="EB Garamond"/>
                <w:color w:val="FFFFFF"/>
                <w:sz w:val="19"/>
                <w:lang w:val="fr-FR" w:eastAsia="fr-FR"/>
              </w:rPr>
              <w:t xml:space="preserve"> - ENSIAS</w:t>
            </w:r>
            <w:r>
              <w:rPr>
                <w:rFonts w:eastAsia="EB Garamond" w:cs="EB Garamond"/>
                <w:color w:val="FFFFFF"/>
                <w:sz w:val="19"/>
                <w:lang w:val="fr-FR" w:eastAsia="fr-FR"/>
              </w:rPr>
              <w:t>)</w:t>
            </w:r>
          </w:p>
        </w:tc>
      </w:tr>
    </w:tbl>
    <w:p w14:paraId="0FDEA6B4" w14:textId="77777777" w:rsidR="00BB75D2" w:rsidRDefault="00BB75D2">
      <w:pPr>
        <w:spacing w:before="160" w:after="0"/>
        <w:rPr>
          <w:rFonts w:hint="eastAsia"/>
        </w:rPr>
      </w:pPr>
    </w:p>
    <w:p w14:paraId="6BADF432" w14:textId="77777777" w:rsidR="00BB75D2" w:rsidRDefault="00000000">
      <w:pPr>
        <w:keepNext/>
        <w:pBdr>
          <w:bottom w:val="single" w:sz="9" w:space="4" w:color="B5773B"/>
        </w:pBdr>
        <w:spacing w:before="80" w:after="140"/>
        <w:rPr>
          <w:rFonts w:hint="eastAsia"/>
        </w:rPr>
      </w:pPr>
      <w:r>
        <w:rPr>
          <w:rFonts w:ascii="Lato" w:eastAsia="Lato" w:hAnsi="Lato" w:cs="Lato"/>
          <w:b/>
          <w:color w:val="173E3D"/>
          <w:sz w:val="37"/>
          <w:lang w:val="fr-FR" w:eastAsia="fr-FR"/>
        </w:rPr>
        <w:lastRenderedPageBreak/>
        <w:t>Bibliographie indicative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4706"/>
      </w:tblGrid>
      <w:tr w:rsidR="00BB75D2" w14:paraId="55CED079" w14:textId="77777777">
        <w:trPr>
          <w:cantSplit/>
          <w:jc w:val="center"/>
        </w:trPr>
        <w:tc>
          <w:tcPr>
            <w:tcW w:w="4706" w:type="dxa"/>
            <w:tcBorders>
              <w:top w:val="nil"/>
              <w:left w:val="nil"/>
              <w:bottom w:val="nil"/>
              <w:right w:val="single" w:sz="3" w:space="0" w:color="D6DDD9"/>
            </w:tcBorders>
            <w:tcMar>
              <w:top w:w="40" w:type="dxa"/>
              <w:left w:w="90" w:type="dxa"/>
              <w:bottom w:w="50" w:type="dxa"/>
              <w:right w:w="90" w:type="dxa"/>
            </w:tcMar>
          </w:tcPr>
          <w:p w14:paraId="0B7E13D5" w14:textId="77777777" w:rsidR="00BB75D2" w:rsidRDefault="00000000">
            <w:pPr>
              <w:keepNext/>
              <w:pBdr>
                <w:bottom w:val="single" w:sz="3" w:space="1" w:color="D6DDD9"/>
              </w:pBdr>
              <w:spacing w:after="44"/>
              <w:rPr>
                <w:rFonts w:hint="eastAsia"/>
              </w:rPr>
            </w:pPr>
            <w:r>
              <w:rPr>
                <w:rFonts w:ascii="Lato" w:eastAsia="Lato" w:hAnsi="Lato" w:cs="Lato"/>
                <w:b/>
                <w:color w:val="B5773B"/>
                <w:sz w:val="18"/>
                <w:lang w:val="fr-FR" w:eastAsia="fr-FR"/>
              </w:rPr>
              <w:t xml:space="preserve">1  </w:t>
            </w:r>
            <w:r>
              <w:rPr>
                <w:rFonts w:ascii="Lato" w:eastAsia="Lato" w:hAnsi="Lato" w:cs="Lato"/>
                <w:b/>
                <w:color w:val="173E3D"/>
                <w:sz w:val="18"/>
                <w:lang w:val="fr-FR" w:eastAsia="fr-FR"/>
              </w:rPr>
              <w:t>Cadres théoriques : champ littéraire, institution, circulation</w:t>
            </w:r>
          </w:p>
          <w:p w14:paraId="7ECB9AFB"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BOURDIEU, Pierre, </w:t>
            </w:r>
            <w:r>
              <w:rPr>
                <w:rFonts w:eastAsia="EB Garamond" w:cs="EB Garamond"/>
                <w:i/>
                <w:sz w:val="16"/>
                <w:lang w:val="fr-FR" w:eastAsia="fr-FR"/>
              </w:rPr>
              <w:t>Les Règles de l’art. Genèse et structure du champ littéraire</w:t>
            </w:r>
            <w:r>
              <w:rPr>
                <w:rFonts w:eastAsia="EB Garamond" w:cs="EB Garamond"/>
                <w:sz w:val="16"/>
                <w:lang w:val="fr-FR" w:eastAsia="fr-FR"/>
              </w:rPr>
              <w:t>, Paris, Seuil, 1992.</w:t>
            </w:r>
          </w:p>
          <w:p w14:paraId="64058FC2"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CASANOVA, Pascale, </w:t>
            </w:r>
            <w:r>
              <w:rPr>
                <w:rFonts w:eastAsia="EB Garamond" w:cs="EB Garamond"/>
                <w:i/>
                <w:sz w:val="16"/>
                <w:lang w:val="fr-FR" w:eastAsia="fr-FR"/>
              </w:rPr>
              <w:t>La République mondiale des lettres</w:t>
            </w:r>
            <w:r>
              <w:rPr>
                <w:rFonts w:eastAsia="EB Garamond" w:cs="EB Garamond"/>
                <w:sz w:val="16"/>
                <w:lang w:val="fr-FR" w:eastAsia="fr-FR"/>
              </w:rPr>
              <w:t>, Paris, Seuil, 1999.</w:t>
            </w:r>
          </w:p>
          <w:p w14:paraId="4468F9FD"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DUBOIS, Jacques, </w:t>
            </w:r>
            <w:r>
              <w:rPr>
                <w:rFonts w:eastAsia="EB Garamond" w:cs="EB Garamond"/>
                <w:i/>
                <w:sz w:val="16"/>
                <w:lang w:val="fr-FR" w:eastAsia="fr-FR"/>
              </w:rPr>
              <w:t>L’Institution de la littérature. Introduction à une sociologie</w:t>
            </w:r>
            <w:r>
              <w:rPr>
                <w:rFonts w:eastAsia="EB Garamond" w:cs="EB Garamond"/>
                <w:sz w:val="16"/>
                <w:lang w:val="fr-FR" w:eastAsia="fr-FR"/>
              </w:rPr>
              <w:t>, Paris-Bruxelles, Nathan-Labor, 1978.</w:t>
            </w:r>
          </w:p>
          <w:p w14:paraId="0A4B4A10"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SAPIRO, Gisèle, </w:t>
            </w:r>
            <w:r>
              <w:rPr>
                <w:rFonts w:eastAsia="EB Garamond" w:cs="EB Garamond"/>
                <w:i/>
                <w:sz w:val="16"/>
                <w:lang w:val="fr-FR" w:eastAsia="fr-FR"/>
              </w:rPr>
              <w:t>La Sociologie de la littérature</w:t>
            </w:r>
            <w:r>
              <w:rPr>
                <w:rFonts w:eastAsia="EB Garamond" w:cs="EB Garamond"/>
                <w:sz w:val="16"/>
                <w:lang w:val="fr-FR" w:eastAsia="fr-FR"/>
              </w:rPr>
              <w:t>, nouvelle édition mise à jour, Paris, La Découverte, coll. « Repères », 2024.</w:t>
            </w:r>
          </w:p>
        </w:tc>
        <w:tc>
          <w:tcPr>
            <w:tcW w:w="4706" w:type="dxa"/>
            <w:tcBorders>
              <w:top w:val="nil"/>
              <w:left w:val="single" w:sz="3" w:space="0" w:color="D6DDD9"/>
              <w:bottom w:val="nil"/>
              <w:right w:val="nil"/>
            </w:tcBorders>
            <w:tcMar>
              <w:top w:w="40" w:type="dxa"/>
              <w:left w:w="90" w:type="dxa"/>
              <w:bottom w:w="50" w:type="dxa"/>
              <w:right w:w="90" w:type="dxa"/>
            </w:tcMar>
          </w:tcPr>
          <w:p w14:paraId="0564F18D" w14:textId="77777777" w:rsidR="00BB75D2" w:rsidRDefault="00000000">
            <w:pPr>
              <w:keepNext/>
              <w:pBdr>
                <w:bottom w:val="single" w:sz="3" w:space="1" w:color="D6DDD9"/>
              </w:pBdr>
              <w:spacing w:after="44"/>
              <w:rPr>
                <w:rFonts w:hint="eastAsia"/>
              </w:rPr>
            </w:pPr>
            <w:r>
              <w:rPr>
                <w:rFonts w:ascii="Lato" w:eastAsia="Lato" w:hAnsi="Lato" w:cs="Lato"/>
                <w:b/>
                <w:color w:val="B5773B"/>
                <w:sz w:val="18"/>
                <w:lang w:val="fr-FR" w:eastAsia="fr-FR"/>
              </w:rPr>
              <w:t xml:space="preserve">2  </w:t>
            </w:r>
            <w:r>
              <w:rPr>
                <w:rFonts w:ascii="Lato" w:eastAsia="Lato" w:hAnsi="Lato" w:cs="Lato"/>
                <w:b/>
                <w:color w:val="173E3D"/>
                <w:sz w:val="18"/>
                <w:lang w:val="fr-FR" w:eastAsia="fr-FR"/>
              </w:rPr>
              <w:t>Repères généraux sur les littératures amazighes/berbères</w:t>
            </w:r>
          </w:p>
          <w:p w14:paraId="0C93685F"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BOUNFOUR, Abdellah, </w:t>
            </w:r>
            <w:r>
              <w:rPr>
                <w:rFonts w:eastAsia="EB Garamond" w:cs="EB Garamond"/>
                <w:i/>
                <w:sz w:val="16"/>
                <w:lang w:val="fr-FR" w:eastAsia="fr-FR"/>
              </w:rPr>
              <w:t>Introduction à la littérature berbère. 1. La poésie</w:t>
            </w:r>
            <w:r>
              <w:rPr>
                <w:rFonts w:eastAsia="EB Garamond" w:cs="EB Garamond"/>
                <w:sz w:val="16"/>
                <w:lang w:val="fr-FR" w:eastAsia="fr-FR"/>
              </w:rPr>
              <w:t>, Paris-Louvain, Peeters, 1999.</w:t>
            </w:r>
          </w:p>
          <w:p w14:paraId="0E17B631"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BOUNFOUR, Abdellah, « Littérature berbère contemporaine », </w:t>
            </w:r>
            <w:r>
              <w:rPr>
                <w:rFonts w:eastAsia="EB Garamond" w:cs="EB Garamond"/>
                <w:i/>
                <w:sz w:val="16"/>
                <w:lang w:val="fr-FR" w:eastAsia="fr-FR"/>
              </w:rPr>
              <w:t>Encyclopédie berbère</w:t>
            </w:r>
            <w:r>
              <w:rPr>
                <w:rFonts w:eastAsia="EB Garamond" w:cs="EB Garamond"/>
                <w:sz w:val="16"/>
                <w:lang w:val="fr-FR" w:eastAsia="fr-FR"/>
              </w:rPr>
              <w:t>, nos 28-29, 2008, p. 4435-4439.</w:t>
            </w:r>
          </w:p>
          <w:p w14:paraId="3EB539B0"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BOUNFOUR, Abdellah et CHAKER, Salem (dir.), « Littérature berbère », </w:t>
            </w:r>
            <w:r>
              <w:rPr>
                <w:rFonts w:eastAsia="EB Garamond" w:cs="EB Garamond"/>
                <w:i/>
                <w:sz w:val="16"/>
                <w:lang w:val="fr-FR" w:eastAsia="fr-FR"/>
              </w:rPr>
              <w:t>Études littéraires africaines</w:t>
            </w:r>
            <w:r>
              <w:rPr>
                <w:rFonts w:eastAsia="EB Garamond" w:cs="EB Garamond"/>
                <w:sz w:val="16"/>
                <w:lang w:val="fr-FR" w:eastAsia="fr-FR"/>
              </w:rPr>
              <w:t>, no 21, 2006.</w:t>
            </w:r>
          </w:p>
          <w:p w14:paraId="4972DE24"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GALAND-PERNET, Paulette, </w:t>
            </w:r>
            <w:r>
              <w:rPr>
                <w:rFonts w:eastAsia="EB Garamond" w:cs="EB Garamond"/>
                <w:i/>
                <w:sz w:val="16"/>
                <w:lang w:val="fr-FR" w:eastAsia="fr-FR"/>
              </w:rPr>
              <w:t>Littératures berbères. Des voix, des lettres</w:t>
            </w:r>
            <w:r>
              <w:rPr>
                <w:rFonts w:eastAsia="EB Garamond" w:cs="EB Garamond"/>
                <w:sz w:val="16"/>
                <w:lang w:val="fr-FR" w:eastAsia="fr-FR"/>
              </w:rPr>
              <w:t>, Paris, Presses universitaires de France, 1998.</w:t>
            </w:r>
          </w:p>
          <w:p w14:paraId="56C0F6AD"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KICH, Aziz (dir.), </w:t>
            </w:r>
            <w:r>
              <w:rPr>
                <w:rFonts w:eastAsia="EB Garamond" w:cs="EB Garamond"/>
                <w:i/>
                <w:sz w:val="16"/>
                <w:lang w:val="fr-FR" w:eastAsia="fr-FR"/>
              </w:rPr>
              <w:t>La littérature amazighe : oralité et écriture, spécificités et perspectives. Actes du colloque international</w:t>
            </w:r>
            <w:r>
              <w:rPr>
                <w:rFonts w:eastAsia="EB Garamond" w:cs="EB Garamond"/>
                <w:sz w:val="16"/>
                <w:lang w:val="fr-FR" w:eastAsia="fr-FR"/>
              </w:rPr>
              <w:t>, Rabat, Institut Royal de la Culture Amazighe, 2004.</w:t>
            </w:r>
          </w:p>
          <w:p w14:paraId="43C41E65"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 Littérature amazighe : genèse, typologie et évolution », dossier, </w:t>
            </w:r>
            <w:r>
              <w:rPr>
                <w:rFonts w:eastAsia="EB Garamond" w:cs="EB Garamond"/>
                <w:i/>
                <w:sz w:val="16"/>
                <w:lang w:val="fr-FR" w:eastAsia="fr-FR"/>
              </w:rPr>
              <w:t>Asinag</w:t>
            </w:r>
            <w:r>
              <w:rPr>
                <w:rFonts w:eastAsia="EB Garamond" w:cs="EB Garamond"/>
                <w:sz w:val="16"/>
                <w:lang w:val="fr-FR" w:eastAsia="fr-FR"/>
              </w:rPr>
              <w:t>, nos 4-5, 2010.</w:t>
            </w:r>
          </w:p>
        </w:tc>
      </w:tr>
      <w:tr w:rsidR="00BB75D2" w14:paraId="163946AB" w14:textId="77777777">
        <w:trPr>
          <w:cantSplit/>
          <w:jc w:val="center"/>
        </w:trPr>
        <w:tc>
          <w:tcPr>
            <w:tcW w:w="4706" w:type="dxa"/>
            <w:tcBorders>
              <w:top w:val="nil"/>
              <w:left w:val="nil"/>
              <w:bottom w:val="nil"/>
              <w:right w:val="single" w:sz="3" w:space="0" w:color="D6DDD9"/>
            </w:tcBorders>
            <w:tcMar>
              <w:top w:w="80" w:type="dxa"/>
              <w:left w:w="90" w:type="dxa"/>
              <w:bottom w:w="50" w:type="dxa"/>
              <w:right w:w="90" w:type="dxa"/>
            </w:tcMar>
          </w:tcPr>
          <w:p w14:paraId="7A208C3E" w14:textId="77777777" w:rsidR="00BB75D2" w:rsidRDefault="00000000">
            <w:pPr>
              <w:keepNext/>
              <w:pBdr>
                <w:bottom w:val="single" w:sz="3" w:space="1" w:color="D6DDD9"/>
              </w:pBdr>
              <w:spacing w:after="44"/>
              <w:rPr>
                <w:rFonts w:hint="eastAsia"/>
              </w:rPr>
            </w:pPr>
            <w:r>
              <w:rPr>
                <w:rFonts w:ascii="Lato" w:eastAsia="Lato" w:hAnsi="Lato" w:cs="Lato"/>
                <w:b/>
                <w:color w:val="B5773B"/>
                <w:sz w:val="18"/>
                <w:lang w:val="fr-FR" w:eastAsia="fr-FR"/>
              </w:rPr>
              <w:t xml:space="preserve">3  </w:t>
            </w:r>
            <w:r>
              <w:rPr>
                <w:rFonts w:ascii="Lato" w:eastAsia="Lato" w:hAnsi="Lato" w:cs="Lato"/>
                <w:b/>
                <w:color w:val="173E3D"/>
                <w:sz w:val="18"/>
                <w:lang w:val="fr-FR" w:eastAsia="fr-FR"/>
              </w:rPr>
              <w:t>Néolittérature amazighe, roman et émergence de l’écrit</w:t>
            </w:r>
          </w:p>
          <w:p w14:paraId="4DB12201"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ABOULKACEM-AFULAY, El Khatir, « Taskla : contexte d’émergence d’un champ littéraire », dans </w:t>
            </w:r>
            <w:r>
              <w:rPr>
                <w:rFonts w:eastAsia="EB Garamond" w:cs="EB Garamond"/>
                <w:i/>
                <w:sz w:val="16"/>
                <w:lang w:val="fr-FR" w:eastAsia="fr-FR"/>
              </w:rPr>
              <w:t>Études de littérature amazighe moderne</w:t>
            </w:r>
            <w:r>
              <w:rPr>
                <w:rFonts w:eastAsia="EB Garamond" w:cs="EB Garamond"/>
                <w:sz w:val="16"/>
                <w:lang w:val="fr-FR" w:eastAsia="fr-FR"/>
              </w:rPr>
              <w:t>, Agadir, Éditions Tirra, 2013, p. 31-44.</w:t>
            </w:r>
          </w:p>
          <w:p w14:paraId="1F726764"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ALAHYANE, Ayad, « La néolittérature amazighe et questions de son évolution », dans </w:t>
            </w:r>
            <w:r>
              <w:rPr>
                <w:rFonts w:eastAsia="EB Garamond" w:cs="EB Garamond"/>
                <w:i/>
                <w:sz w:val="16"/>
                <w:lang w:val="fr-FR" w:eastAsia="fr-FR"/>
              </w:rPr>
              <w:t>Études de littérature amazighe moderne</w:t>
            </w:r>
            <w:r>
              <w:rPr>
                <w:rFonts w:eastAsia="EB Garamond" w:cs="EB Garamond"/>
                <w:sz w:val="16"/>
                <w:lang w:val="fr-FR" w:eastAsia="fr-FR"/>
              </w:rPr>
              <w:t>, Agadir, Éditions Tirra, 2013, p. 45-55.</w:t>
            </w:r>
          </w:p>
          <w:p w14:paraId="02F537CE"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AMEZIANE, Amar, « La néo-littérature kabyle et ses rapports à la littérature traditionnelle », </w:t>
            </w:r>
            <w:r>
              <w:rPr>
                <w:rFonts w:eastAsia="EB Garamond" w:cs="EB Garamond"/>
                <w:i/>
                <w:sz w:val="16"/>
                <w:lang w:val="fr-FR" w:eastAsia="fr-FR"/>
              </w:rPr>
              <w:t>Études littéraires africaines</w:t>
            </w:r>
            <w:r>
              <w:rPr>
                <w:rFonts w:eastAsia="EB Garamond" w:cs="EB Garamond"/>
                <w:sz w:val="16"/>
                <w:lang w:val="fr-FR" w:eastAsia="fr-FR"/>
              </w:rPr>
              <w:t>, no 21, 2006, p. 20-28.</w:t>
            </w:r>
          </w:p>
          <w:p w14:paraId="146A9076"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COLLECTIF, </w:t>
            </w:r>
            <w:r>
              <w:rPr>
                <w:rFonts w:eastAsia="EB Garamond" w:cs="EB Garamond"/>
                <w:i/>
                <w:sz w:val="16"/>
                <w:lang w:val="fr-FR" w:eastAsia="fr-FR"/>
              </w:rPr>
              <w:t>Lectures dans le roman amazigh – Tigriwin g ungal amazigh</w:t>
            </w:r>
            <w:r>
              <w:rPr>
                <w:rFonts w:eastAsia="EB Garamond" w:cs="EB Garamond"/>
                <w:sz w:val="16"/>
                <w:lang w:val="fr-FR" w:eastAsia="fr-FR"/>
              </w:rPr>
              <w:t>, Agadir, Publications Tirra, 2014.</w:t>
            </w:r>
          </w:p>
          <w:p w14:paraId="5734C24E"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MOUHSINE, Khadija, « Roman berbère : Maroc », </w:t>
            </w:r>
            <w:r>
              <w:rPr>
                <w:rFonts w:eastAsia="EB Garamond" w:cs="EB Garamond"/>
                <w:i/>
                <w:sz w:val="16"/>
                <w:lang w:val="fr-FR" w:eastAsia="fr-FR"/>
              </w:rPr>
              <w:t>Encyclopédie berbère</w:t>
            </w:r>
            <w:r>
              <w:rPr>
                <w:rFonts w:eastAsia="EB Garamond" w:cs="EB Garamond"/>
                <w:sz w:val="16"/>
                <w:lang w:val="fr-FR" w:eastAsia="fr-FR"/>
              </w:rPr>
              <w:t>, no 41, 2017.</w:t>
            </w:r>
          </w:p>
          <w:p w14:paraId="1E0F0719"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TALMENSSOUR, Abdelâali (dir.), </w:t>
            </w:r>
            <w:r>
              <w:rPr>
                <w:rFonts w:eastAsia="EB Garamond" w:cs="EB Garamond"/>
                <w:i/>
                <w:sz w:val="16"/>
                <w:lang w:val="fr-FR" w:eastAsia="fr-FR"/>
              </w:rPr>
              <w:t>La nouvelle littérature amazighe</w:t>
            </w:r>
            <w:r>
              <w:rPr>
                <w:rFonts w:eastAsia="EB Garamond" w:cs="EB Garamond"/>
                <w:sz w:val="16"/>
                <w:lang w:val="fr-FR" w:eastAsia="fr-FR"/>
              </w:rPr>
              <w:t>, Agadir, Faculté des lettres et des sciences humaines, 2016.</w:t>
            </w:r>
          </w:p>
        </w:tc>
        <w:tc>
          <w:tcPr>
            <w:tcW w:w="4706" w:type="dxa"/>
            <w:tcBorders>
              <w:top w:val="nil"/>
              <w:left w:val="single" w:sz="3" w:space="0" w:color="D6DDD9"/>
              <w:bottom w:val="nil"/>
              <w:right w:val="nil"/>
            </w:tcBorders>
            <w:tcMar>
              <w:top w:w="80" w:type="dxa"/>
              <w:left w:w="90" w:type="dxa"/>
              <w:bottom w:w="50" w:type="dxa"/>
              <w:right w:w="90" w:type="dxa"/>
            </w:tcMar>
          </w:tcPr>
          <w:p w14:paraId="41901EFA" w14:textId="77777777" w:rsidR="00BB75D2" w:rsidRDefault="00000000">
            <w:pPr>
              <w:keepNext/>
              <w:pBdr>
                <w:bottom w:val="single" w:sz="3" w:space="1" w:color="D6DDD9"/>
              </w:pBdr>
              <w:spacing w:after="44"/>
              <w:rPr>
                <w:rFonts w:hint="eastAsia"/>
              </w:rPr>
            </w:pPr>
            <w:r>
              <w:rPr>
                <w:rFonts w:ascii="Lato" w:eastAsia="Lato" w:hAnsi="Lato" w:cs="Lato"/>
                <w:b/>
                <w:color w:val="B5773B"/>
                <w:sz w:val="18"/>
                <w:lang w:val="fr-FR" w:eastAsia="fr-FR"/>
              </w:rPr>
              <w:t xml:space="preserve">4  </w:t>
            </w:r>
            <w:r>
              <w:rPr>
                <w:rFonts w:ascii="Lato" w:eastAsia="Lato" w:hAnsi="Lato" w:cs="Lato"/>
                <w:b/>
                <w:color w:val="173E3D"/>
                <w:sz w:val="18"/>
                <w:lang w:val="fr-FR" w:eastAsia="fr-FR"/>
              </w:rPr>
              <w:t>Oralité, narration et formes littéraires</w:t>
            </w:r>
          </w:p>
          <w:p w14:paraId="51012EF1"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MEROLLA, Daniela, </w:t>
            </w:r>
            <w:r>
              <w:rPr>
                <w:rFonts w:eastAsia="EB Garamond" w:cs="EB Garamond"/>
                <w:i/>
                <w:sz w:val="16"/>
                <w:lang w:val="fr-FR" w:eastAsia="fr-FR"/>
              </w:rPr>
              <w:t>De l’art de la narration tamazight (berbère). 200 ans d’études : état des lieux et perspectives</w:t>
            </w:r>
            <w:r>
              <w:rPr>
                <w:rFonts w:eastAsia="EB Garamond" w:cs="EB Garamond"/>
                <w:sz w:val="16"/>
                <w:lang w:val="fr-FR" w:eastAsia="fr-FR"/>
              </w:rPr>
              <w:t>, Louvain-Paris, Peeters, 2006.</w:t>
            </w:r>
          </w:p>
          <w:p w14:paraId="3572B063"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MEROLLA, Daniela, « Narration dans l’espace littéraire berbère », </w:t>
            </w:r>
            <w:r>
              <w:rPr>
                <w:rFonts w:eastAsia="EB Garamond" w:cs="EB Garamond"/>
                <w:i/>
                <w:sz w:val="16"/>
                <w:lang w:val="fr-FR" w:eastAsia="fr-FR"/>
              </w:rPr>
              <w:t>Encyclopédie berbère</w:t>
            </w:r>
            <w:r>
              <w:rPr>
                <w:rFonts w:eastAsia="EB Garamond" w:cs="EB Garamond"/>
                <w:sz w:val="16"/>
                <w:lang w:val="fr-FR" w:eastAsia="fr-FR"/>
              </w:rPr>
              <w:t>, no 33, 2012.</w:t>
            </w:r>
          </w:p>
          <w:p w14:paraId="0BE5A1D5"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MEROLLA, Daniela, « Rif : littérature », </w:t>
            </w:r>
            <w:r>
              <w:rPr>
                <w:rFonts w:eastAsia="EB Garamond" w:cs="EB Garamond"/>
                <w:i/>
                <w:sz w:val="16"/>
                <w:lang w:val="fr-FR" w:eastAsia="fr-FR"/>
              </w:rPr>
              <w:t>Encyclopédie berbère</w:t>
            </w:r>
            <w:r>
              <w:rPr>
                <w:rFonts w:eastAsia="EB Garamond" w:cs="EB Garamond"/>
                <w:sz w:val="16"/>
                <w:lang w:val="fr-FR" w:eastAsia="fr-FR"/>
              </w:rPr>
              <w:t>, no 41, 2017, p. 6956-6972.</w:t>
            </w:r>
          </w:p>
          <w:p w14:paraId="037E1005"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MEROLLA, Daniela, « Amazigh/Berber Literature and “Literary Space”: A Contested Minority Situation in (North) African Literatures », dans Tanure Ojaide et Joyce Ashuntantang (dir.), </w:t>
            </w:r>
            <w:r>
              <w:rPr>
                <w:rFonts w:eastAsia="EB Garamond" w:cs="EB Garamond"/>
                <w:i/>
                <w:sz w:val="16"/>
                <w:lang w:val="fr-FR" w:eastAsia="fr-FR"/>
              </w:rPr>
              <w:t>Routledge Handbook of Minority Discourses in African Literature</w:t>
            </w:r>
            <w:r>
              <w:rPr>
                <w:rFonts w:eastAsia="EB Garamond" w:cs="EB Garamond"/>
                <w:sz w:val="16"/>
                <w:lang w:val="fr-FR" w:eastAsia="fr-FR"/>
              </w:rPr>
              <w:t>, Londres-New York, Routledge, 2020, p. 27-47.</w:t>
            </w:r>
          </w:p>
        </w:tc>
      </w:tr>
      <w:tr w:rsidR="00BB75D2" w14:paraId="41B17D79" w14:textId="77777777">
        <w:trPr>
          <w:cantSplit/>
          <w:jc w:val="center"/>
        </w:trPr>
        <w:tc>
          <w:tcPr>
            <w:tcW w:w="4706" w:type="dxa"/>
            <w:tcBorders>
              <w:top w:val="nil"/>
              <w:left w:val="nil"/>
              <w:bottom w:val="nil"/>
              <w:right w:val="single" w:sz="3" w:space="0" w:color="D6DDD9"/>
            </w:tcBorders>
            <w:tcMar>
              <w:top w:w="80" w:type="dxa"/>
              <w:left w:w="90" w:type="dxa"/>
              <w:bottom w:w="50" w:type="dxa"/>
              <w:right w:w="90" w:type="dxa"/>
            </w:tcMar>
          </w:tcPr>
          <w:p w14:paraId="2E58C01A" w14:textId="77777777" w:rsidR="00BB75D2" w:rsidRDefault="00000000">
            <w:pPr>
              <w:keepNext/>
              <w:pBdr>
                <w:bottom w:val="single" w:sz="3" w:space="1" w:color="D6DDD9"/>
              </w:pBdr>
              <w:spacing w:after="44"/>
              <w:rPr>
                <w:rFonts w:hint="eastAsia"/>
              </w:rPr>
            </w:pPr>
            <w:r>
              <w:rPr>
                <w:rFonts w:ascii="Lato" w:eastAsia="Lato" w:hAnsi="Lato" w:cs="Lato"/>
                <w:b/>
                <w:color w:val="B5773B"/>
                <w:sz w:val="18"/>
                <w:lang w:val="fr-FR" w:eastAsia="fr-FR"/>
              </w:rPr>
              <w:t xml:space="preserve">5  </w:t>
            </w:r>
            <w:r>
              <w:rPr>
                <w:rFonts w:ascii="Lato" w:eastAsia="Lato" w:hAnsi="Lato" w:cs="Lato"/>
                <w:b/>
                <w:color w:val="173E3D"/>
                <w:sz w:val="18"/>
                <w:lang w:val="fr-FR" w:eastAsia="fr-FR"/>
              </w:rPr>
              <w:t>Acteurs, institutions, édition et légitimation</w:t>
            </w:r>
          </w:p>
          <w:p w14:paraId="1DCE5ED8"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ACHAB, Ramdane, « Le livre : un levier pour la promotion de la langue et de la culture amazighes », entretien réalisé par le comité de rédaction, </w:t>
            </w:r>
            <w:r>
              <w:rPr>
                <w:rFonts w:eastAsia="EB Garamond" w:cs="EB Garamond"/>
                <w:i/>
                <w:sz w:val="16"/>
                <w:lang w:val="fr-FR" w:eastAsia="fr-FR"/>
              </w:rPr>
              <w:t>Asinag</w:t>
            </w:r>
            <w:r>
              <w:rPr>
                <w:rFonts w:eastAsia="EB Garamond" w:cs="EB Garamond"/>
                <w:sz w:val="16"/>
                <w:lang w:val="fr-FR" w:eastAsia="fr-FR"/>
              </w:rPr>
              <w:t>, no 16, 2021, p. 47-58.</w:t>
            </w:r>
          </w:p>
          <w:p w14:paraId="11193D31"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BOUYAAKOUBI, Lahoucine, « Tirra, Alliance des écrivains en amazighe : une nouvelle dynamique autour de l’écrit en amazighe au Maroc », </w:t>
            </w:r>
            <w:r>
              <w:rPr>
                <w:rFonts w:eastAsia="EB Garamond" w:cs="EB Garamond"/>
                <w:i/>
                <w:sz w:val="16"/>
                <w:lang w:val="fr-FR" w:eastAsia="fr-FR"/>
              </w:rPr>
              <w:t>Iles d Imesli</w:t>
            </w:r>
            <w:r>
              <w:rPr>
                <w:rFonts w:eastAsia="EB Garamond" w:cs="EB Garamond"/>
                <w:sz w:val="16"/>
                <w:lang w:val="fr-FR" w:eastAsia="fr-FR"/>
              </w:rPr>
              <w:t>, vol. 12, no 1, 2020, p. 5-21.</w:t>
            </w:r>
          </w:p>
          <w:p w14:paraId="104D4789"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MOUMOUCH, Larbi, « Littérature et enseignement : quelle littérature amazighe enseigner ? », </w:t>
            </w:r>
            <w:r>
              <w:rPr>
                <w:rFonts w:eastAsia="EB Garamond" w:cs="EB Garamond"/>
                <w:i/>
                <w:sz w:val="16"/>
                <w:lang w:val="fr-FR" w:eastAsia="fr-FR"/>
              </w:rPr>
              <w:t>Asinag</w:t>
            </w:r>
            <w:r>
              <w:rPr>
                <w:rFonts w:eastAsia="EB Garamond" w:cs="EB Garamond"/>
                <w:sz w:val="16"/>
                <w:lang w:val="fr-FR" w:eastAsia="fr-FR"/>
              </w:rPr>
              <w:t>, no 15, 2020, p. 131-143.</w:t>
            </w:r>
          </w:p>
        </w:tc>
        <w:tc>
          <w:tcPr>
            <w:tcW w:w="4706" w:type="dxa"/>
            <w:tcBorders>
              <w:top w:val="nil"/>
              <w:left w:val="single" w:sz="3" w:space="0" w:color="D6DDD9"/>
              <w:bottom w:val="nil"/>
              <w:right w:val="nil"/>
            </w:tcBorders>
            <w:tcMar>
              <w:top w:w="80" w:type="dxa"/>
              <w:left w:w="90" w:type="dxa"/>
              <w:bottom w:w="50" w:type="dxa"/>
              <w:right w:w="90" w:type="dxa"/>
            </w:tcMar>
          </w:tcPr>
          <w:p w14:paraId="7FBE1839" w14:textId="77777777" w:rsidR="00BB75D2" w:rsidRDefault="00000000">
            <w:pPr>
              <w:keepNext/>
              <w:pBdr>
                <w:bottom w:val="single" w:sz="3" w:space="1" w:color="D6DDD9"/>
              </w:pBdr>
              <w:spacing w:after="44"/>
              <w:rPr>
                <w:rFonts w:hint="eastAsia"/>
              </w:rPr>
            </w:pPr>
            <w:r>
              <w:rPr>
                <w:rFonts w:ascii="Lato" w:eastAsia="Lato" w:hAnsi="Lato" w:cs="Lato"/>
                <w:b/>
                <w:color w:val="B5773B"/>
                <w:sz w:val="18"/>
                <w:lang w:val="fr-FR" w:eastAsia="fr-FR"/>
              </w:rPr>
              <w:t xml:space="preserve">6  </w:t>
            </w:r>
            <w:r>
              <w:rPr>
                <w:rFonts w:ascii="Lato" w:eastAsia="Lato" w:hAnsi="Lato" w:cs="Lato"/>
                <w:b/>
                <w:color w:val="173E3D"/>
                <w:sz w:val="18"/>
                <w:lang w:val="fr-FR" w:eastAsia="fr-FR"/>
              </w:rPr>
              <w:t>Langue, graphie, standardisation et politique linguistique</w:t>
            </w:r>
          </w:p>
          <w:p w14:paraId="3AB45185"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AMEUR, Meftaha et al., </w:t>
            </w:r>
            <w:r>
              <w:rPr>
                <w:rFonts w:eastAsia="EB Garamond" w:cs="EB Garamond"/>
                <w:i/>
                <w:sz w:val="16"/>
                <w:lang w:val="fr-FR" w:eastAsia="fr-FR"/>
              </w:rPr>
              <w:t>Graphie et orthographe de l’amazighe</w:t>
            </w:r>
            <w:r>
              <w:rPr>
                <w:rFonts w:eastAsia="EB Garamond" w:cs="EB Garamond"/>
                <w:sz w:val="16"/>
                <w:lang w:val="fr-FR" w:eastAsia="fr-FR"/>
              </w:rPr>
              <w:t>, Rabat, Institut Royal de la Culture Amazighe, coll. « Études », no 6, 2006.</w:t>
            </w:r>
          </w:p>
          <w:p w14:paraId="32A83D40"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AMEUR, Meftaha et BOUMALK, Abdellah (dir.), </w:t>
            </w:r>
            <w:r>
              <w:rPr>
                <w:rFonts w:eastAsia="EB Garamond" w:cs="EB Garamond"/>
                <w:i/>
                <w:sz w:val="16"/>
                <w:lang w:val="fr-FR" w:eastAsia="fr-FR"/>
              </w:rPr>
              <w:t>Standardisation de l’amazighe</w:t>
            </w:r>
            <w:r>
              <w:rPr>
                <w:rFonts w:eastAsia="EB Garamond" w:cs="EB Garamond"/>
                <w:sz w:val="16"/>
                <w:lang w:val="fr-FR" w:eastAsia="fr-FR"/>
              </w:rPr>
              <w:t>, Rabat, Institut Royal de la Culture Amazighe, 2004.</w:t>
            </w:r>
          </w:p>
          <w:p w14:paraId="7B42833C" w14:textId="77777777" w:rsidR="00BB75D2" w:rsidRDefault="00000000">
            <w:pPr>
              <w:spacing w:after="16" w:line="240" w:lineRule="auto"/>
              <w:ind w:left="170" w:hanging="170"/>
              <w:jc w:val="left"/>
              <w:rPr>
                <w:rFonts w:hint="eastAsia"/>
              </w:rPr>
            </w:pPr>
            <w:r>
              <w:rPr>
                <w:rFonts w:ascii="Lato" w:eastAsia="Lato" w:hAnsi="Lato" w:cs="Lato"/>
                <w:b/>
                <w:color w:val="B5773B"/>
                <w:sz w:val="15"/>
                <w:lang w:val="fr-FR" w:eastAsia="fr-FR"/>
              </w:rPr>
              <w:t xml:space="preserve">• </w:t>
            </w:r>
            <w:r>
              <w:rPr>
                <w:rFonts w:eastAsia="EB Garamond" w:cs="EB Garamond"/>
                <w:sz w:val="16"/>
                <w:lang w:val="fr-FR" w:eastAsia="fr-FR"/>
              </w:rPr>
              <w:t xml:space="preserve">BOUKOUS, Ahmed, </w:t>
            </w:r>
            <w:r>
              <w:rPr>
                <w:rFonts w:eastAsia="EB Garamond" w:cs="EB Garamond"/>
                <w:i/>
                <w:sz w:val="16"/>
                <w:lang w:val="fr-FR" w:eastAsia="fr-FR"/>
              </w:rPr>
              <w:t>Revitalisation de la langue amazighe : défis, enjeux et stratégies</w:t>
            </w:r>
            <w:r>
              <w:rPr>
                <w:rFonts w:eastAsia="EB Garamond" w:cs="EB Garamond"/>
                <w:sz w:val="16"/>
                <w:lang w:val="fr-FR" w:eastAsia="fr-FR"/>
              </w:rPr>
              <w:t>, Rabat, Institut Royal de la Culture Amazighe, 2010.</w:t>
            </w:r>
          </w:p>
        </w:tc>
      </w:tr>
    </w:tbl>
    <w:p w14:paraId="51275B5B" w14:textId="77777777" w:rsidR="00BB75D2" w:rsidRDefault="00BB75D2">
      <w:pPr>
        <w:pBdr>
          <w:top w:val="single" w:sz="8" w:space="4" w:color="B5773B"/>
        </w:pBdr>
        <w:spacing w:before="140"/>
        <w:rPr>
          <w:rFonts w:hint="eastAsia"/>
        </w:rPr>
      </w:pPr>
    </w:p>
    <w:sectPr w:rsidR="00BB75D2" w:rsidSect="00034616">
      <w:headerReference w:type="default" r:id="rId8"/>
      <w:footerReference w:type="default" r:id="rId9"/>
      <w:pgSz w:w="11906" w:h="16838"/>
      <w:pgMar w:top="1219" w:right="1247" w:bottom="1077" w:left="1247" w:header="369"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FE25B" w14:textId="77777777" w:rsidR="005308A4" w:rsidRDefault="005308A4">
      <w:pPr>
        <w:spacing w:after="0" w:line="240" w:lineRule="auto"/>
        <w:rPr>
          <w:rFonts w:hint="eastAsia"/>
        </w:rPr>
      </w:pPr>
      <w:r>
        <w:separator/>
      </w:r>
    </w:p>
  </w:endnote>
  <w:endnote w:type="continuationSeparator" w:id="0">
    <w:p w14:paraId="03A8765D" w14:textId="77777777" w:rsidR="005308A4" w:rsidRDefault="005308A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Noto Sans Tifinagh">
    <w:charset w:val="00"/>
    <w:family w:val="auto"/>
    <w:pitch w:val="variable"/>
    <w:sig w:usb0="80000043" w:usb1="00002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F6E42" w14:textId="77777777" w:rsidR="00BB75D2" w:rsidRDefault="00000000">
    <w:pPr>
      <w:pStyle w:val="Pieddepage"/>
      <w:pBdr>
        <w:top w:val="single" w:sz="6" w:space="3" w:color="D6DDD9"/>
      </w:pBdr>
      <w:spacing w:before="40"/>
      <w:jc w:val="right"/>
      <w:rPr>
        <w:rFonts w:hint="eastAsia"/>
      </w:rPr>
    </w:pPr>
    <w:r>
      <w:rPr>
        <w:rFonts w:ascii="Lato" w:eastAsia="Lato" w:hAnsi="Lato" w:cs="Lato"/>
        <w:b/>
        <w:color w:val="646A66"/>
        <w:sz w:val="16"/>
        <w:lang w:val="fr-FR" w:eastAsia="fr-FR"/>
      </w:rPr>
      <w:t xml:space="preserve">PAGE </w:t>
    </w:r>
    <w:r>
      <w:rPr>
        <w:rFonts w:ascii="Lato" w:eastAsia="Lato" w:hAnsi="Lato" w:cs="Lato"/>
        <w:color w:val="646A66"/>
        <w:sz w:val="17"/>
        <w:lang w:val="fr-FR" w:eastAsia="fr-FR"/>
      </w:rPr>
      <w:fldChar w:fldCharType="begin"/>
    </w:r>
    <w:r>
      <w:rPr>
        <w:rFonts w:ascii="Lato" w:eastAsia="Lato" w:hAnsi="Lato" w:cs="Lato"/>
        <w:color w:val="646A66"/>
        <w:sz w:val="17"/>
        <w:lang w:val="fr-FR" w:eastAsia="fr-FR"/>
      </w:rPr>
      <w:instrText xml:space="preserve"> PAGE </w:instrText>
    </w:r>
    <w:r>
      <w:rPr>
        <w:rFonts w:ascii="Lato" w:eastAsia="Lato" w:hAnsi="Lato" w:cs="Lato"/>
        <w:color w:val="646A66"/>
        <w:sz w:val="17"/>
        <w:lang w:val="fr-FR" w:eastAsia="fr-FR"/>
      </w:rPr>
      <w:fldChar w:fldCharType="separate"/>
    </w:r>
    <w:r>
      <w:rPr>
        <w:rFonts w:ascii="Lato" w:eastAsia="Lato" w:hAnsi="Lato" w:cs="Lato"/>
        <w:color w:val="646A66"/>
        <w:sz w:val="17"/>
        <w:lang w:val="fr-FR" w:eastAsia="fr-FR"/>
      </w:rPr>
      <w:t>1</w:t>
    </w:r>
    <w:r>
      <w:rPr>
        <w:rFonts w:ascii="Lato" w:eastAsia="Lato" w:hAnsi="Lato" w:cs="Lato"/>
        <w:color w:val="646A66"/>
        <w:sz w:val="17"/>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9DBF1" w14:textId="77777777" w:rsidR="005308A4" w:rsidRDefault="005308A4">
      <w:pPr>
        <w:spacing w:after="0" w:line="240" w:lineRule="auto"/>
        <w:rPr>
          <w:rFonts w:hint="eastAsia"/>
        </w:rPr>
      </w:pPr>
      <w:r>
        <w:separator/>
      </w:r>
    </w:p>
  </w:footnote>
  <w:footnote w:type="continuationSeparator" w:id="0">
    <w:p w14:paraId="768DCAAF" w14:textId="77777777" w:rsidR="005308A4" w:rsidRDefault="005308A4">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8E8D" w14:textId="77777777" w:rsidR="00BB75D2" w:rsidRDefault="00000000">
    <w:pPr>
      <w:pStyle w:val="En-tte"/>
      <w:pBdr>
        <w:bottom w:val="single" w:sz="6" w:space="3" w:color="D6DDD9"/>
      </w:pBdr>
      <w:spacing w:after="40"/>
      <w:jc w:val="left"/>
      <w:rPr>
        <w:rFonts w:hint="eastAsia"/>
      </w:rPr>
    </w:pPr>
    <w:r>
      <w:rPr>
        <w:rFonts w:ascii="Lato" w:eastAsia="Lato" w:hAnsi="Lato" w:cs="Lato"/>
        <w:b/>
        <w:caps/>
        <w:color w:val="646A66"/>
        <w:sz w:val="15"/>
        <w:lang w:val="fr-FR" w:eastAsia="fr-FR"/>
      </w:rPr>
      <w:t>LITTÉRATURE AMAZIGHE AU MAROC  ·  ARGUMENTAIRE SCIENTIFIQUE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78143495">
    <w:abstractNumId w:val="8"/>
  </w:num>
  <w:num w:numId="2" w16cid:durableId="1423641360">
    <w:abstractNumId w:val="6"/>
  </w:num>
  <w:num w:numId="3" w16cid:durableId="103886538">
    <w:abstractNumId w:val="5"/>
  </w:num>
  <w:num w:numId="4" w16cid:durableId="264919575">
    <w:abstractNumId w:val="4"/>
  </w:num>
  <w:num w:numId="5" w16cid:durableId="1496455200">
    <w:abstractNumId w:val="7"/>
  </w:num>
  <w:num w:numId="6" w16cid:durableId="652830270">
    <w:abstractNumId w:val="3"/>
  </w:num>
  <w:num w:numId="7" w16cid:durableId="1832913475">
    <w:abstractNumId w:val="2"/>
  </w:num>
  <w:num w:numId="8" w16cid:durableId="1132358996">
    <w:abstractNumId w:val="1"/>
  </w:num>
  <w:num w:numId="9" w16cid:durableId="419568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08A4"/>
    <w:rsid w:val="00AA1CB1"/>
    <w:rsid w:val="00AA1D8D"/>
    <w:rsid w:val="00AB3D8B"/>
    <w:rsid w:val="00B47730"/>
    <w:rsid w:val="00BB75D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4BA5FC"/>
  <w14:defaultImageDpi w14:val="300"/>
  <w15:docId w15:val="{557BAFB9-1102-42B8-A6DE-B0B77196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EB Garamond" w:hAnsi="EB Garamond"/>
      <w:color w:val="242624"/>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Pro">
    <w:name w:val="Body Pro"/>
    <w:pPr>
      <w:spacing w:after="100"/>
      <w:jc w:val="both"/>
    </w:pPr>
    <w:rPr>
      <w:rFonts w:ascii="EB Garamond" w:hAnsi="EB Garamond"/>
      <w:color w:val="242624"/>
      <w:sz w:val="21"/>
    </w:rPr>
  </w:style>
  <w:style w:type="paragraph" w:customStyle="1" w:styleId="BodyIntro">
    <w:name w:val="Body Intro"/>
    <w:pPr>
      <w:spacing w:after="140" w:line="281" w:lineRule="auto"/>
      <w:jc w:val="both"/>
    </w:pPr>
    <w:rPr>
      <w:rFonts w:ascii="EB Garamond" w:hAnsi="EB Garamond"/>
      <w:color w:val="242624"/>
    </w:rPr>
  </w:style>
  <w:style w:type="paragraph" w:customStyle="1" w:styleId="BibliographyEntry">
    <w:name w:val="Bibliography Entry"/>
    <w:pPr>
      <w:spacing w:after="44" w:line="252" w:lineRule="auto"/>
      <w:ind w:left="255" w:hanging="255"/>
    </w:pPr>
    <w:rPr>
      <w:rFonts w:ascii="EB Garamond" w:hAnsi="EB Garamond"/>
      <w:color w:val="242624"/>
      <w:sz w:val="18"/>
    </w:rPr>
  </w:style>
  <w:style w:type="paragraph" w:customStyle="1" w:styleId="BibliographyCategory">
    <w:name w:val="Bibliography Category"/>
    <w:pPr>
      <w:keepNext/>
      <w:spacing w:before="180" w:after="80"/>
    </w:pPr>
    <w:rPr>
      <w:rFonts w:ascii="Lato" w:hAnsi="Lato"/>
      <w:b/>
      <w:color w:val="173E3D"/>
      <w:sz w:val="21"/>
    </w:rPr>
  </w:style>
  <w:style w:type="paragraph" w:customStyle="1" w:styleId="SectionHeading">
    <w:name w:val="Section Heading"/>
    <w:pPr>
      <w:keepNext/>
    </w:pPr>
    <w:rPr>
      <w:rFonts w:ascii="Lato" w:hAnsi="Lato"/>
      <w:b/>
      <w:color w:val="173E3D"/>
      <w:sz w:val="42"/>
    </w:rPr>
  </w:style>
  <w:style w:type="paragraph" w:customStyle="1" w:styleId="SmallCapsLabel">
    <w:name w:val="Small Caps Label"/>
    <w:pPr>
      <w:spacing w:after="80"/>
    </w:pPr>
    <w:rPr>
      <w:rFonts w:ascii="Lato" w:hAnsi="Lato"/>
      <w:b/>
      <w:color w:val="B5773B"/>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1985</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littérature amazighe au Maroc au XXIᵉ siècle : enjeux de structuration d’un espace littéraire</dc:title>
  <dc:subject>Argumentaire scientifique de journée d’étude</dc:subject>
  <dc:creator>Zoé Carle et Ali Lihi</dc:creator>
  <cp:keywords>littérature amazighe; roman amazigh; champ littéraire; Maroc; journée d’étude</cp:keywords>
  <dc:description>Version mise en page pour diffusion académique.</dc:description>
  <cp:lastModifiedBy>Ali Lihi</cp:lastModifiedBy>
  <cp:revision>2</cp:revision>
  <dcterms:created xsi:type="dcterms:W3CDTF">2013-12-23T23:15:00Z</dcterms:created>
  <dcterms:modified xsi:type="dcterms:W3CDTF">2026-09-05T22:21:00Z</dcterms:modified>
  <cp:category/>
</cp:coreProperties>
</file>